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F2D8" w14:textId="419E8686" w:rsidR="002D2FFD" w:rsidRPr="001477A5" w:rsidRDefault="00FC33BF" w:rsidP="002D2FFD">
      <w:pPr>
        <w:pStyle w:val="Heading1"/>
        <w:rPr>
          <w:color w:val="172242"/>
        </w:rPr>
      </w:pPr>
      <w:r>
        <w:rPr>
          <w:color w:val="172242"/>
        </w:rPr>
        <w:t xml:space="preserve">                                                                                                                                                                                                                                                                                                                                                                                                                                                                                                                                                                                                                                                                                                                                                                                                                                                                                                                                                                                                                                           </w:t>
      </w:r>
      <w:r w:rsidR="0030218C">
        <w:rPr>
          <w:color w:val="172242"/>
        </w:rPr>
        <w:t xml:space="preserve"> </w:t>
      </w:r>
    </w:p>
    <w:p w14:paraId="1EE621C9" w14:textId="77777777" w:rsidR="002D2FFD" w:rsidRDefault="002D2FFD" w:rsidP="002D2FFD"/>
    <w:p w14:paraId="7DAAE346" w14:textId="77777777" w:rsidR="002D2FFD" w:rsidRPr="00EB02CA" w:rsidRDefault="002D2FFD" w:rsidP="002D2FFD"/>
    <w:p w14:paraId="1FDDEAAB" w14:textId="7F3FFB40" w:rsidR="002D2FFD" w:rsidRDefault="002D2FFD" w:rsidP="002D2FFD">
      <w:pPr>
        <w:pStyle w:val="Subheading2"/>
        <w:rPr>
          <w:rFonts w:eastAsiaTheme="minorEastAsia" w:cs="Calibri"/>
          <w:color w:val="002060"/>
          <w:spacing w:val="-10"/>
          <w:kern w:val="30"/>
          <w:sz w:val="36"/>
          <w:szCs w:val="36"/>
        </w:rPr>
      </w:pPr>
      <w:r>
        <w:rPr>
          <w:rFonts w:eastAsiaTheme="minorEastAsia" w:cs="Calibri"/>
          <w:color w:val="002060"/>
          <w:spacing w:val="-10"/>
          <w:kern w:val="30"/>
          <w:sz w:val="36"/>
          <w:szCs w:val="36"/>
        </w:rPr>
        <w:t xml:space="preserve">IA Response to </w:t>
      </w:r>
      <w:r w:rsidR="00D828E6">
        <w:rPr>
          <w:rFonts w:eastAsiaTheme="minorEastAsia" w:cs="Calibri"/>
          <w:color w:val="002060"/>
          <w:spacing w:val="-10"/>
          <w:kern w:val="30"/>
          <w:sz w:val="36"/>
          <w:szCs w:val="36"/>
        </w:rPr>
        <w:t>Call for Evidence</w:t>
      </w:r>
      <w:r>
        <w:rPr>
          <w:rFonts w:eastAsiaTheme="minorEastAsia" w:cs="Calibri"/>
          <w:color w:val="002060"/>
          <w:spacing w:val="-10"/>
          <w:kern w:val="30"/>
          <w:sz w:val="36"/>
          <w:szCs w:val="36"/>
        </w:rPr>
        <w:t xml:space="preserve"> </w:t>
      </w:r>
    </w:p>
    <w:p w14:paraId="0CB40E79" w14:textId="02DC8E64" w:rsidR="00AC3640" w:rsidRPr="00BF1853" w:rsidRDefault="00BF1853" w:rsidP="002D2FFD">
      <w:pPr>
        <w:pStyle w:val="Subheading2"/>
        <w:rPr>
          <w:color w:val="FFFFFF"/>
        </w:rPr>
      </w:pPr>
      <w:r>
        <w:rPr>
          <w:color w:val="2EBCB4"/>
        </w:rPr>
        <w:t>UK Secondary Capital Raising Review</w:t>
      </w:r>
    </w:p>
    <w:p w14:paraId="1D03F65B" w14:textId="77777777" w:rsidR="002D2FFD" w:rsidRDefault="002D2FFD" w:rsidP="002D2FFD">
      <w:pPr>
        <w:pStyle w:val="BodyText"/>
        <w:tabs>
          <w:tab w:val="left" w:pos="1560"/>
        </w:tabs>
        <w:rPr>
          <w:rFonts w:cs="Calibri"/>
        </w:rPr>
      </w:pPr>
    </w:p>
    <w:p w14:paraId="3C0EBB94" w14:textId="77777777" w:rsidR="002D2FFD" w:rsidRPr="007F2648" w:rsidRDefault="002D2FFD" w:rsidP="002D2FFD">
      <w:pPr>
        <w:pStyle w:val="Heading4"/>
        <w:numPr>
          <w:ilvl w:val="0"/>
          <w:numId w:val="0"/>
        </w:numPr>
        <w:ind w:left="360" w:hanging="360"/>
      </w:pPr>
      <w:r w:rsidRPr="007F2648">
        <w:t>About the Investment Association</w:t>
      </w:r>
    </w:p>
    <w:p w14:paraId="1C3EF14A" w14:textId="77777777" w:rsidR="002D2FFD" w:rsidRPr="007F2648" w:rsidRDefault="002D2FFD" w:rsidP="002D2FFD">
      <w:pPr>
        <w:pStyle w:val="BodyText"/>
        <w:tabs>
          <w:tab w:val="left" w:pos="1560"/>
        </w:tabs>
        <w:rPr>
          <w:rFonts w:cs="Calibri"/>
          <w:b/>
        </w:rPr>
      </w:pPr>
      <w:r w:rsidRPr="00B00D12">
        <w:rPr>
          <w:rFonts w:cs="Calibri"/>
        </w:rPr>
        <w:t>The Investment Association (IA) champions UK investment management, a world-leading industry which helps millions of households save for the future while supporting businesses and economic growth in the UK and abroad. Our 270 members range from smaller, specialist UK firms to European and global investment managers with a UK base. Collectively, they manage £9.4 trillion for savers and institutions, such as pension schemes and insurance companies, in the UK and beyond. 44% of this is for overseas clients. The UK asset management industry is the largest in Europe and the second largest globally.</w:t>
      </w:r>
      <w:r>
        <w:rPr>
          <w:rFonts w:cs="Calibri"/>
        </w:rPr>
        <w:br/>
      </w:r>
    </w:p>
    <w:p w14:paraId="35BB532A" w14:textId="11433028" w:rsidR="002D2FFD" w:rsidRDefault="002D2FFD" w:rsidP="002D2FFD">
      <w:pPr>
        <w:pStyle w:val="Heading4"/>
        <w:numPr>
          <w:ilvl w:val="0"/>
          <w:numId w:val="0"/>
        </w:numPr>
        <w:ind w:left="360" w:hanging="360"/>
      </w:pPr>
      <w:r w:rsidRPr="007F2648">
        <w:t>Exe</w:t>
      </w:r>
      <w:r>
        <w:t>cutive summary</w:t>
      </w:r>
    </w:p>
    <w:p w14:paraId="7BE7F713" w14:textId="7855467F" w:rsidR="00B137BA" w:rsidRPr="00B137BA" w:rsidRDefault="00B137BA" w:rsidP="00B137BA">
      <w:pPr>
        <w:rPr>
          <w:rFonts w:ascii="Calibri" w:hAnsi="Calibri" w:cs="Calibri"/>
          <w:color w:val="002151"/>
          <w:w w:val="110"/>
          <w:kern w:val="20"/>
          <w:szCs w:val="20"/>
        </w:rPr>
      </w:pPr>
      <w:r w:rsidRPr="00B137BA">
        <w:rPr>
          <w:rFonts w:ascii="Calibri" w:hAnsi="Calibri" w:cs="Calibri"/>
          <w:color w:val="002151"/>
          <w:w w:val="110"/>
          <w:kern w:val="20"/>
          <w:szCs w:val="20"/>
        </w:rPr>
        <w:t>The IA welcomes this opportunity to respond to the UK Secondary Capital Raising Review’s call for evidence.</w:t>
      </w:r>
    </w:p>
    <w:p w14:paraId="5D950A79" w14:textId="7F30C6B8" w:rsidR="00B137BA" w:rsidRDefault="00B137BA" w:rsidP="00B137BA">
      <w:pPr>
        <w:rPr>
          <w:rFonts w:ascii="Calibri" w:hAnsi="Calibri" w:cs="Calibri"/>
          <w:color w:val="002151"/>
          <w:w w:val="110"/>
          <w:kern w:val="20"/>
          <w:szCs w:val="20"/>
        </w:rPr>
      </w:pPr>
      <w:r w:rsidRPr="00B137BA">
        <w:rPr>
          <w:rFonts w:ascii="Calibri" w:hAnsi="Calibri" w:cs="Calibri"/>
          <w:color w:val="002151"/>
          <w:w w:val="110"/>
          <w:kern w:val="20"/>
          <w:szCs w:val="20"/>
        </w:rPr>
        <w:t xml:space="preserve">The IA and its members have an ambition to re-energise public markets and create a savings and investment ecosystem which delivers for end savers and is attractive to both companies and global investors. We seek to widen UK and international businesses’ access to long-term pools of capital and maintain robust standards that will help deliver long-term returns to our clients and their beneficiaries, including retail and pension savers. </w:t>
      </w:r>
    </w:p>
    <w:p w14:paraId="42A706F0" w14:textId="7515917F" w:rsidR="00AB6E5D" w:rsidRDefault="00AB6E5D" w:rsidP="00B137BA">
      <w:pPr>
        <w:rPr>
          <w:rFonts w:ascii="Calibri" w:hAnsi="Calibri" w:cs="Calibri"/>
          <w:color w:val="002151"/>
          <w:w w:val="110"/>
          <w:kern w:val="20"/>
          <w:szCs w:val="20"/>
        </w:rPr>
      </w:pPr>
      <w:r>
        <w:rPr>
          <w:rFonts w:ascii="Calibri" w:hAnsi="Calibri" w:cs="Calibri"/>
          <w:color w:val="002151"/>
          <w:w w:val="110"/>
          <w:kern w:val="20"/>
          <w:szCs w:val="20"/>
        </w:rPr>
        <w:t>We</w:t>
      </w:r>
      <w:r w:rsidRPr="00AB6E5D">
        <w:rPr>
          <w:rFonts w:ascii="Calibri" w:hAnsi="Calibri" w:cs="Calibri"/>
          <w:color w:val="002151"/>
          <w:w w:val="110"/>
          <w:kern w:val="20"/>
          <w:szCs w:val="20"/>
        </w:rPr>
        <w:t xml:space="preserve"> welcome the establishment of the Secondary Capital Raisings Review and its focus on improving the rights issue process </w:t>
      </w:r>
      <w:r w:rsidR="00AC0FA0">
        <w:rPr>
          <w:rFonts w:ascii="Calibri" w:hAnsi="Calibri" w:cs="Calibri"/>
          <w:color w:val="002151"/>
          <w:w w:val="110"/>
          <w:kern w:val="20"/>
          <w:szCs w:val="20"/>
        </w:rPr>
        <w:t>to</w:t>
      </w:r>
      <w:r w:rsidRPr="00AB6E5D">
        <w:rPr>
          <w:rFonts w:ascii="Calibri" w:hAnsi="Calibri" w:cs="Calibri"/>
          <w:color w:val="002151"/>
          <w:w w:val="110"/>
          <w:kern w:val="20"/>
          <w:szCs w:val="20"/>
        </w:rPr>
        <w:t xml:space="preserve"> ensure that the interests of existing investors in the company are protected</w:t>
      </w:r>
      <w:r w:rsidR="00AC0FA0">
        <w:rPr>
          <w:rFonts w:ascii="Calibri" w:hAnsi="Calibri" w:cs="Calibri"/>
          <w:color w:val="002151"/>
          <w:w w:val="110"/>
          <w:kern w:val="20"/>
          <w:szCs w:val="20"/>
        </w:rPr>
        <w:t xml:space="preserve">, whilst allowing companies to raise capital quicker and there for with </w:t>
      </w:r>
      <w:r w:rsidR="00223C92">
        <w:rPr>
          <w:rFonts w:ascii="Calibri" w:hAnsi="Calibri" w:cs="Calibri"/>
          <w:color w:val="002151"/>
          <w:w w:val="110"/>
          <w:kern w:val="20"/>
          <w:szCs w:val="20"/>
        </w:rPr>
        <w:t>lower risk</w:t>
      </w:r>
      <w:r w:rsidRPr="00AB6E5D">
        <w:rPr>
          <w:rFonts w:ascii="Calibri" w:hAnsi="Calibri" w:cs="Calibri"/>
          <w:color w:val="002151"/>
          <w:w w:val="110"/>
          <w:kern w:val="20"/>
          <w:szCs w:val="20"/>
        </w:rPr>
        <w:t>.</w:t>
      </w:r>
    </w:p>
    <w:p w14:paraId="488DF365" w14:textId="13B41D9C" w:rsidR="00745DD5" w:rsidRDefault="00745DD5" w:rsidP="00EF2DA4">
      <w:pPr>
        <w:rPr>
          <w:rFonts w:ascii="Calibri" w:hAnsi="Calibri" w:cs="Calibri"/>
          <w:color w:val="002151"/>
          <w:w w:val="110"/>
          <w:kern w:val="20"/>
          <w:szCs w:val="20"/>
        </w:rPr>
      </w:pPr>
      <w:r>
        <w:rPr>
          <w:rFonts w:ascii="Calibri" w:hAnsi="Calibri" w:cs="Calibri"/>
          <w:color w:val="002151"/>
          <w:w w:val="110"/>
          <w:kern w:val="20"/>
          <w:szCs w:val="20"/>
        </w:rPr>
        <w:t>It is essential that business</w:t>
      </w:r>
      <w:r w:rsidR="00A61962">
        <w:rPr>
          <w:rFonts w:ascii="Calibri" w:hAnsi="Calibri" w:cs="Calibri"/>
          <w:color w:val="002151"/>
          <w:w w:val="110"/>
          <w:kern w:val="20"/>
          <w:szCs w:val="20"/>
        </w:rPr>
        <w:t>es</w:t>
      </w:r>
      <w:r>
        <w:rPr>
          <w:rFonts w:ascii="Calibri" w:hAnsi="Calibri" w:cs="Calibri"/>
          <w:color w:val="002151"/>
          <w:w w:val="110"/>
          <w:kern w:val="20"/>
          <w:szCs w:val="20"/>
        </w:rPr>
        <w:t xml:space="preserve"> listed in the UK </w:t>
      </w:r>
      <w:r w:rsidR="00E13131">
        <w:rPr>
          <w:rFonts w:ascii="Calibri" w:hAnsi="Calibri" w:cs="Calibri"/>
          <w:color w:val="002151"/>
          <w:w w:val="110"/>
          <w:kern w:val="20"/>
          <w:szCs w:val="20"/>
        </w:rPr>
        <w:t>have access to a</w:t>
      </w:r>
      <w:r w:rsidR="00F23AAC">
        <w:rPr>
          <w:rFonts w:ascii="Calibri" w:hAnsi="Calibri" w:cs="Calibri"/>
          <w:color w:val="002151"/>
          <w:w w:val="110"/>
          <w:kern w:val="20"/>
          <w:szCs w:val="20"/>
        </w:rPr>
        <w:t xml:space="preserve"> secondary capital </w:t>
      </w:r>
      <w:r w:rsidR="00E13131">
        <w:rPr>
          <w:rFonts w:ascii="Calibri" w:hAnsi="Calibri" w:cs="Calibri"/>
          <w:color w:val="002151"/>
          <w:w w:val="110"/>
          <w:kern w:val="20"/>
          <w:szCs w:val="20"/>
        </w:rPr>
        <w:t>raising structure that allows them to raise the required amount of capital quickly and efficiently</w:t>
      </w:r>
      <w:r w:rsidR="00EF2DA4">
        <w:rPr>
          <w:rFonts w:ascii="Calibri" w:hAnsi="Calibri" w:cs="Calibri"/>
          <w:color w:val="002151"/>
          <w:w w:val="110"/>
          <w:kern w:val="20"/>
          <w:szCs w:val="20"/>
        </w:rPr>
        <w:t xml:space="preserve">, while </w:t>
      </w:r>
      <w:r w:rsidR="00750A7A">
        <w:rPr>
          <w:rFonts w:ascii="Calibri" w:hAnsi="Calibri" w:cs="Calibri"/>
          <w:color w:val="002151"/>
          <w:w w:val="110"/>
          <w:kern w:val="20"/>
          <w:szCs w:val="20"/>
        </w:rPr>
        <w:t xml:space="preserve">preserving shareholder rights, including </w:t>
      </w:r>
      <w:r w:rsidR="00EF2DA4">
        <w:rPr>
          <w:rFonts w:ascii="Calibri" w:hAnsi="Calibri" w:cs="Calibri"/>
          <w:color w:val="002151"/>
          <w:w w:val="110"/>
          <w:kern w:val="20"/>
          <w:szCs w:val="20"/>
        </w:rPr>
        <w:t>protecti</w:t>
      </w:r>
      <w:r w:rsidR="00200073">
        <w:rPr>
          <w:rFonts w:ascii="Calibri" w:hAnsi="Calibri" w:cs="Calibri"/>
          <w:color w:val="002151"/>
          <w:w w:val="110"/>
          <w:kern w:val="20"/>
          <w:szCs w:val="20"/>
        </w:rPr>
        <w:t>on</w:t>
      </w:r>
      <w:r w:rsidR="00EF2DA4">
        <w:rPr>
          <w:rFonts w:ascii="Calibri" w:hAnsi="Calibri" w:cs="Calibri"/>
          <w:color w:val="002151"/>
          <w:w w:val="110"/>
          <w:kern w:val="20"/>
          <w:szCs w:val="20"/>
        </w:rPr>
        <w:t xml:space="preserve"> from dilution.</w:t>
      </w:r>
      <w:r w:rsidR="00571661">
        <w:rPr>
          <w:rFonts w:ascii="Calibri" w:hAnsi="Calibri" w:cs="Calibri"/>
          <w:color w:val="002151"/>
          <w:w w:val="110"/>
          <w:kern w:val="20"/>
          <w:szCs w:val="20"/>
        </w:rPr>
        <w:t xml:space="preserve"> The motivations for a</w:t>
      </w:r>
      <w:r w:rsidR="009A7D46">
        <w:rPr>
          <w:rFonts w:ascii="Calibri" w:hAnsi="Calibri" w:cs="Calibri"/>
          <w:color w:val="002151"/>
          <w:w w:val="110"/>
          <w:kern w:val="20"/>
          <w:szCs w:val="20"/>
        </w:rPr>
        <w:t xml:space="preserve"> </w:t>
      </w:r>
      <w:r w:rsidR="00323748">
        <w:rPr>
          <w:rFonts w:ascii="Calibri" w:hAnsi="Calibri" w:cs="Calibri"/>
          <w:color w:val="002151"/>
          <w:w w:val="110"/>
          <w:kern w:val="20"/>
          <w:szCs w:val="20"/>
        </w:rPr>
        <w:t>secondary issue may vary fro</w:t>
      </w:r>
      <w:r w:rsidR="00C51879">
        <w:rPr>
          <w:rFonts w:ascii="Calibri" w:hAnsi="Calibri" w:cs="Calibri"/>
          <w:color w:val="002151"/>
          <w:w w:val="110"/>
          <w:kern w:val="20"/>
          <w:szCs w:val="20"/>
        </w:rPr>
        <w:t>m funding an acquisition</w:t>
      </w:r>
      <w:r w:rsidR="003E23D1">
        <w:rPr>
          <w:rFonts w:ascii="Calibri" w:hAnsi="Calibri" w:cs="Calibri"/>
          <w:color w:val="002151"/>
          <w:w w:val="110"/>
          <w:kern w:val="20"/>
          <w:szCs w:val="20"/>
        </w:rPr>
        <w:t xml:space="preserve"> or </w:t>
      </w:r>
      <w:r w:rsidR="00D76429">
        <w:rPr>
          <w:rFonts w:ascii="Calibri" w:hAnsi="Calibri" w:cs="Calibri"/>
          <w:color w:val="002151"/>
          <w:w w:val="110"/>
          <w:kern w:val="20"/>
          <w:szCs w:val="20"/>
        </w:rPr>
        <w:t>investment project</w:t>
      </w:r>
      <w:r w:rsidR="003E23D1">
        <w:rPr>
          <w:rFonts w:ascii="Calibri" w:hAnsi="Calibri" w:cs="Calibri"/>
          <w:color w:val="002151"/>
          <w:w w:val="110"/>
          <w:kern w:val="20"/>
          <w:szCs w:val="20"/>
        </w:rPr>
        <w:t>, repaying debt, or to strengthen</w:t>
      </w:r>
      <w:r w:rsidR="00D76429">
        <w:rPr>
          <w:rFonts w:ascii="Calibri" w:hAnsi="Calibri" w:cs="Calibri"/>
          <w:color w:val="002151"/>
          <w:w w:val="110"/>
          <w:kern w:val="20"/>
          <w:szCs w:val="20"/>
        </w:rPr>
        <w:t xml:space="preserve"> the</w:t>
      </w:r>
      <w:r w:rsidR="003E23D1">
        <w:rPr>
          <w:rFonts w:ascii="Calibri" w:hAnsi="Calibri" w:cs="Calibri"/>
          <w:color w:val="002151"/>
          <w:w w:val="110"/>
          <w:kern w:val="20"/>
          <w:szCs w:val="20"/>
        </w:rPr>
        <w:t xml:space="preserve"> balance sheet</w:t>
      </w:r>
      <w:r w:rsidR="002F6635">
        <w:rPr>
          <w:rFonts w:ascii="Calibri" w:hAnsi="Calibri" w:cs="Calibri"/>
          <w:color w:val="002151"/>
          <w:w w:val="110"/>
          <w:kern w:val="20"/>
          <w:szCs w:val="20"/>
        </w:rPr>
        <w:t>.</w:t>
      </w:r>
      <w:r w:rsidR="00785B14">
        <w:rPr>
          <w:rFonts w:ascii="Calibri" w:hAnsi="Calibri" w:cs="Calibri"/>
          <w:color w:val="002151"/>
          <w:w w:val="110"/>
          <w:kern w:val="20"/>
          <w:szCs w:val="20"/>
        </w:rPr>
        <w:t xml:space="preserve"> </w:t>
      </w:r>
      <w:r w:rsidR="00B17C72">
        <w:rPr>
          <w:rFonts w:ascii="Calibri" w:hAnsi="Calibri" w:cs="Calibri"/>
          <w:color w:val="002151"/>
          <w:w w:val="110"/>
          <w:kern w:val="20"/>
          <w:szCs w:val="20"/>
        </w:rPr>
        <w:t>I</w:t>
      </w:r>
      <w:r w:rsidR="00785B14">
        <w:rPr>
          <w:rFonts w:ascii="Calibri" w:hAnsi="Calibri" w:cs="Calibri"/>
          <w:color w:val="002151"/>
          <w:w w:val="110"/>
          <w:kern w:val="20"/>
          <w:szCs w:val="20"/>
        </w:rPr>
        <w:t xml:space="preserve">n all cases providing issuers with an efficient means to raise capital will allow </w:t>
      </w:r>
      <w:r w:rsidR="00BD1CE0">
        <w:rPr>
          <w:rFonts w:ascii="Calibri" w:hAnsi="Calibri" w:cs="Calibri"/>
          <w:color w:val="002151"/>
          <w:w w:val="110"/>
          <w:kern w:val="20"/>
          <w:szCs w:val="20"/>
        </w:rPr>
        <w:t>them to</w:t>
      </w:r>
      <w:r w:rsidR="00847F46">
        <w:rPr>
          <w:rFonts w:ascii="Calibri" w:hAnsi="Calibri" w:cs="Calibri"/>
          <w:color w:val="002151"/>
          <w:w w:val="110"/>
          <w:kern w:val="20"/>
          <w:szCs w:val="20"/>
        </w:rPr>
        <w:t xml:space="preserve"> </w:t>
      </w:r>
      <w:r w:rsidR="00D06802">
        <w:rPr>
          <w:rFonts w:ascii="Calibri" w:hAnsi="Calibri" w:cs="Calibri"/>
          <w:color w:val="002151"/>
          <w:w w:val="110"/>
          <w:kern w:val="20"/>
          <w:szCs w:val="20"/>
        </w:rPr>
        <w:t>act</w:t>
      </w:r>
      <w:r w:rsidR="00847F46">
        <w:rPr>
          <w:rFonts w:ascii="Calibri" w:hAnsi="Calibri" w:cs="Calibri"/>
          <w:color w:val="002151"/>
          <w:w w:val="110"/>
          <w:kern w:val="20"/>
          <w:szCs w:val="20"/>
        </w:rPr>
        <w:t xml:space="preserve"> </w:t>
      </w:r>
      <w:r w:rsidR="007879D9">
        <w:rPr>
          <w:rFonts w:ascii="Calibri" w:hAnsi="Calibri" w:cs="Calibri"/>
          <w:color w:val="002151"/>
          <w:w w:val="110"/>
          <w:kern w:val="20"/>
          <w:szCs w:val="20"/>
        </w:rPr>
        <w:t>dynamically</w:t>
      </w:r>
      <w:r w:rsidR="00E01756">
        <w:rPr>
          <w:rFonts w:ascii="Calibri" w:hAnsi="Calibri" w:cs="Calibri"/>
          <w:color w:val="002151"/>
          <w:w w:val="110"/>
          <w:kern w:val="20"/>
          <w:szCs w:val="20"/>
        </w:rPr>
        <w:t xml:space="preserve"> either </w:t>
      </w:r>
      <w:r w:rsidR="006A13F3">
        <w:rPr>
          <w:rFonts w:ascii="Calibri" w:hAnsi="Calibri" w:cs="Calibri"/>
          <w:color w:val="002151"/>
          <w:w w:val="110"/>
          <w:kern w:val="20"/>
          <w:szCs w:val="20"/>
        </w:rPr>
        <w:t xml:space="preserve">to </w:t>
      </w:r>
      <w:r w:rsidR="00E01756">
        <w:rPr>
          <w:rFonts w:ascii="Calibri" w:hAnsi="Calibri" w:cs="Calibri"/>
          <w:color w:val="002151"/>
          <w:w w:val="110"/>
          <w:kern w:val="20"/>
          <w:szCs w:val="20"/>
        </w:rPr>
        <w:t xml:space="preserve">respond to immediate concerns </w:t>
      </w:r>
      <w:r w:rsidR="00B155B9">
        <w:rPr>
          <w:rFonts w:ascii="Calibri" w:hAnsi="Calibri" w:cs="Calibri"/>
          <w:color w:val="002151"/>
          <w:w w:val="110"/>
          <w:kern w:val="20"/>
          <w:szCs w:val="20"/>
        </w:rPr>
        <w:t xml:space="preserve">and business needs </w:t>
      </w:r>
      <w:r w:rsidR="006A13F3">
        <w:rPr>
          <w:rFonts w:ascii="Calibri" w:hAnsi="Calibri" w:cs="Calibri"/>
          <w:color w:val="002151"/>
          <w:w w:val="110"/>
          <w:kern w:val="20"/>
          <w:szCs w:val="20"/>
        </w:rPr>
        <w:t>or to make the most of emerging</w:t>
      </w:r>
      <w:r w:rsidR="00435140">
        <w:rPr>
          <w:rFonts w:ascii="Calibri" w:hAnsi="Calibri" w:cs="Calibri"/>
          <w:color w:val="002151"/>
          <w:w w:val="110"/>
          <w:kern w:val="20"/>
          <w:szCs w:val="20"/>
        </w:rPr>
        <w:t>, and potentially short-lived,</w:t>
      </w:r>
      <w:r w:rsidR="006A13F3">
        <w:rPr>
          <w:rFonts w:ascii="Calibri" w:hAnsi="Calibri" w:cs="Calibri"/>
          <w:color w:val="002151"/>
          <w:w w:val="110"/>
          <w:kern w:val="20"/>
          <w:szCs w:val="20"/>
        </w:rPr>
        <w:t xml:space="preserve"> business opportunities.</w:t>
      </w:r>
    </w:p>
    <w:p w14:paraId="248E5147" w14:textId="518BF193" w:rsidR="000E05EF" w:rsidRPr="00D828E6" w:rsidRDefault="00D93FD6" w:rsidP="00C82A30">
      <w:pPr>
        <w:rPr>
          <w:rStyle w:val="CommentReference"/>
          <w:rFonts w:ascii="Calibri" w:hAnsi="Calibri" w:cs="Calibri"/>
          <w:color w:val="002151"/>
          <w:w w:val="110"/>
          <w:kern w:val="20"/>
          <w:sz w:val="22"/>
          <w:szCs w:val="20"/>
        </w:rPr>
      </w:pPr>
      <w:r w:rsidRPr="00D93FD6">
        <w:rPr>
          <w:rFonts w:ascii="Calibri" w:hAnsi="Calibri" w:cs="Calibri"/>
          <w:color w:val="002151"/>
          <w:w w:val="110"/>
          <w:kern w:val="20"/>
          <w:szCs w:val="20"/>
        </w:rPr>
        <w:t xml:space="preserve">Public markets demonstrated their effectiveness, </w:t>
      </w:r>
      <w:proofErr w:type="gramStart"/>
      <w:r w:rsidRPr="00D93FD6">
        <w:rPr>
          <w:rFonts w:ascii="Calibri" w:hAnsi="Calibri" w:cs="Calibri"/>
          <w:color w:val="002151"/>
          <w:w w:val="110"/>
          <w:kern w:val="20"/>
          <w:szCs w:val="20"/>
        </w:rPr>
        <w:t>depth</w:t>
      </w:r>
      <w:proofErr w:type="gramEnd"/>
      <w:r w:rsidRPr="00D93FD6">
        <w:rPr>
          <w:rFonts w:ascii="Calibri" w:hAnsi="Calibri" w:cs="Calibri"/>
          <w:color w:val="002151"/>
          <w:w w:val="110"/>
          <w:kern w:val="20"/>
          <w:szCs w:val="20"/>
        </w:rPr>
        <w:t xml:space="preserve"> and resilience during the covid-19 pandemic</w:t>
      </w:r>
      <w:r>
        <w:rPr>
          <w:rFonts w:ascii="Calibri" w:hAnsi="Calibri" w:cs="Calibri"/>
          <w:color w:val="002151"/>
          <w:w w:val="110"/>
          <w:kern w:val="20"/>
          <w:szCs w:val="20"/>
        </w:rPr>
        <w:t xml:space="preserve">, with listed companies able to </w:t>
      </w:r>
      <w:r w:rsidR="00B4532D" w:rsidRPr="00B4532D">
        <w:rPr>
          <w:rFonts w:ascii="Calibri" w:hAnsi="Calibri" w:cs="Calibri"/>
          <w:color w:val="002151"/>
          <w:w w:val="110"/>
          <w:kern w:val="20"/>
          <w:szCs w:val="20"/>
        </w:rPr>
        <w:t>use the flexibility</w:t>
      </w:r>
      <w:r w:rsidR="00B4532D">
        <w:rPr>
          <w:rFonts w:ascii="Calibri" w:hAnsi="Calibri" w:cs="Calibri"/>
          <w:color w:val="002151"/>
          <w:w w:val="110"/>
          <w:kern w:val="20"/>
          <w:szCs w:val="20"/>
        </w:rPr>
        <w:t xml:space="preserve"> provided by investor</w:t>
      </w:r>
      <w:r w:rsidR="007B1F97">
        <w:rPr>
          <w:rFonts w:ascii="Calibri" w:hAnsi="Calibri" w:cs="Calibri"/>
          <w:color w:val="002151"/>
          <w:w w:val="110"/>
          <w:kern w:val="20"/>
          <w:szCs w:val="20"/>
        </w:rPr>
        <w:t>s</w:t>
      </w:r>
      <w:r w:rsidR="00B4532D">
        <w:rPr>
          <w:rFonts w:ascii="Calibri" w:hAnsi="Calibri" w:cs="Calibri"/>
          <w:color w:val="002151"/>
          <w:w w:val="110"/>
          <w:kern w:val="20"/>
          <w:szCs w:val="20"/>
        </w:rPr>
        <w:t xml:space="preserve"> </w:t>
      </w:r>
      <w:r w:rsidR="005226B6">
        <w:rPr>
          <w:rFonts w:ascii="Calibri" w:hAnsi="Calibri" w:cs="Calibri"/>
          <w:color w:val="002151"/>
          <w:w w:val="110"/>
          <w:kern w:val="20"/>
          <w:szCs w:val="20"/>
        </w:rPr>
        <w:t>to use undocumented</w:t>
      </w:r>
      <w:r w:rsidR="00B4532D" w:rsidRPr="00B4532D">
        <w:rPr>
          <w:rFonts w:ascii="Calibri" w:hAnsi="Calibri" w:cs="Calibri"/>
          <w:color w:val="002151"/>
          <w:w w:val="110"/>
          <w:kern w:val="20"/>
          <w:szCs w:val="20"/>
        </w:rPr>
        <w:t xml:space="preserve"> </w:t>
      </w:r>
      <w:r w:rsidR="00D64752">
        <w:rPr>
          <w:rFonts w:ascii="Calibri" w:hAnsi="Calibri" w:cs="Calibri"/>
          <w:color w:val="002151"/>
          <w:w w:val="110"/>
          <w:kern w:val="20"/>
          <w:szCs w:val="20"/>
        </w:rPr>
        <w:t xml:space="preserve">secondary </w:t>
      </w:r>
      <w:r w:rsidR="00B4532D" w:rsidRPr="00B4532D">
        <w:rPr>
          <w:rFonts w:ascii="Calibri" w:hAnsi="Calibri" w:cs="Calibri"/>
          <w:color w:val="002151"/>
          <w:w w:val="110"/>
          <w:kern w:val="20"/>
          <w:szCs w:val="20"/>
        </w:rPr>
        <w:t>capital raising framework</w:t>
      </w:r>
      <w:r w:rsidR="005226B6">
        <w:rPr>
          <w:rFonts w:ascii="Calibri" w:hAnsi="Calibri" w:cs="Calibri"/>
          <w:color w:val="002151"/>
          <w:w w:val="110"/>
          <w:kern w:val="20"/>
          <w:szCs w:val="20"/>
        </w:rPr>
        <w:t>s</w:t>
      </w:r>
      <w:r w:rsidR="00B4532D" w:rsidRPr="00B4532D">
        <w:rPr>
          <w:rFonts w:ascii="Calibri" w:hAnsi="Calibri" w:cs="Calibri"/>
          <w:color w:val="002151"/>
          <w:w w:val="110"/>
          <w:kern w:val="20"/>
          <w:szCs w:val="20"/>
        </w:rPr>
        <w:t xml:space="preserve"> to raise </w:t>
      </w:r>
      <w:r w:rsidR="00871C6D">
        <w:rPr>
          <w:rFonts w:ascii="Calibri" w:hAnsi="Calibri" w:cs="Calibri"/>
          <w:color w:val="002151"/>
          <w:w w:val="110"/>
          <w:kern w:val="20"/>
          <w:szCs w:val="20"/>
        </w:rPr>
        <w:t>capital quickly</w:t>
      </w:r>
      <w:r w:rsidR="00B4532D" w:rsidRPr="00B4532D">
        <w:rPr>
          <w:rFonts w:ascii="Calibri" w:hAnsi="Calibri" w:cs="Calibri"/>
          <w:color w:val="002151"/>
          <w:w w:val="110"/>
          <w:kern w:val="20"/>
          <w:szCs w:val="20"/>
        </w:rPr>
        <w:t xml:space="preserve"> to support their financial resilience during </w:t>
      </w:r>
      <w:r w:rsidR="00871C6D">
        <w:rPr>
          <w:rFonts w:ascii="Calibri" w:hAnsi="Calibri" w:cs="Calibri"/>
          <w:color w:val="002151"/>
          <w:w w:val="110"/>
          <w:kern w:val="20"/>
          <w:szCs w:val="20"/>
        </w:rPr>
        <w:t>a</w:t>
      </w:r>
      <w:r w:rsidR="00B4532D" w:rsidRPr="00B4532D">
        <w:rPr>
          <w:rFonts w:ascii="Calibri" w:hAnsi="Calibri" w:cs="Calibri"/>
          <w:color w:val="002151"/>
          <w:w w:val="110"/>
          <w:kern w:val="20"/>
          <w:szCs w:val="20"/>
        </w:rPr>
        <w:t xml:space="preserve"> period of uncertainty.</w:t>
      </w:r>
      <w:r w:rsidR="005F1F56">
        <w:rPr>
          <w:rFonts w:ascii="Calibri" w:hAnsi="Calibri" w:cs="Calibri"/>
          <w:color w:val="002151"/>
          <w:w w:val="110"/>
          <w:kern w:val="20"/>
          <w:szCs w:val="20"/>
        </w:rPr>
        <w:t xml:space="preserve"> </w:t>
      </w:r>
      <w:r w:rsidR="00006AD6">
        <w:rPr>
          <w:rFonts w:ascii="Calibri" w:hAnsi="Calibri" w:cs="Calibri"/>
          <w:color w:val="002151"/>
          <w:w w:val="110"/>
          <w:kern w:val="20"/>
          <w:szCs w:val="20"/>
        </w:rPr>
        <w:t>Most</w:t>
      </w:r>
      <w:r w:rsidR="005F1F56">
        <w:rPr>
          <w:rFonts w:ascii="Calibri" w:hAnsi="Calibri" w:cs="Calibri"/>
          <w:color w:val="002151"/>
          <w:w w:val="110"/>
          <w:kern w:val="20"/>
          <w:szCs w:val="20"/>
        </w:rPr>
        <w:t xml:space="preserve"> issuers relied on </w:t>
      </w:r>
      <w:r w:rsidR="008376BA">
        <w:rPr>
          <w:rFonts w:ascii="Calibri" w:hAnsi="Calibri" w:cs="Calibri"/>
          <w:color w:val="002151"/>
          <w:w w:val="110"/>
          <w:kern w:val="20"/>
          <w:szCs w:val="20"/>
        </w:rPr>
        <w:t xml:space="preserve">accelerated book-builds </w:t>
      </w:r>
      <w:r w:rsidR="00871C6D">
        <w:rPr>
          <w:rFonts w:ascii="Calibri" w:hAnsi="Calibri" w:cs="Calibri"/>
          <w:color w:val="002151"/>
          <w:w w:val="110"/>
          <w:kern w:val="20"/>
          <w:szCs w:val="20"/>
        </w:rPr>
        <w:t>and</w:t>
      </w:r>
      <w:r w:rsidR="008376BA">
        <w:rPr>
          <w:rFonts w:ascii="Calibri" w:hAnsi="Calibri" w:cs="Calibri"/>
          <w:color w:val="002151"/>
          <w:w w:val="110"/>
          <w:kern w:val="20"/>
          <w:szCs w:val="20"/>
        </w:rPr>
        <w:t xml:space="preserve"> cash boxes wh</w:t>
      </w:r>
      <w:r w:rsidR="00A52BD5">
        <w:rPr>
          <w:rFonts w:ascii="Calibri" w:hAnsi="Calibri" w:cs="Calibri"/>
          <w:color w:val="002151"/>
          <w:w w:val="110"/>
          <w:kern w:val="20"/>
          <w:szCs w:val="20"/>
        </w:rPr>
        <w:t xml:space="preserve">ich </w:t>
      </w:r>
      <w:r w:rsidR="00E6024E">
        <w:rPr>
          <w:rFonts w:ascii="Calibri" w:hAnsi="Calibri" w:cs="Calibri"/>
          <w:color w:val="002151"/>
          <w:w w:val="110"/>
          <w:kern w:val="20"/>
          <w:szCs w:val="20"/>
        </w:rPr>
        <w:t>d</w:t>
      </w:r>
      <w:r w:rsidR="000C6A7F">
        <w:rPr>
          <w:rFonts w:ascii="Calibri" w:hAnsi="Calibri" w:cs="Calibri"/>
          <w:color w:val="002151"/>
          <w:w w:val="110"/>
          <w:kern w:val="20"/>
          <w:szCs w:val="20"/>
        </w:rPr>
        <w:t>id</w:t>
      </w:r>
      <w:r w:rsidR="00E6024E">
        <w:rPr>
          <w:rFonts w:ascii="Calibri" w:hAnsi="Calibri" w:cs="Calibri"/>
          <w:color w:val="002151"/>
          <w:w w:val="110"/>
          <w:kern w:val="20"/>
          <w:szCs w:val="20"/>
        </w:rPr>
        <w:t xml:space="preserve"> not require </w:t>
      </w:r>
      <w:r w:rsidR="0047554F">
        <w:rPr>
          <w:rFonts w:ascii="Calibri" w:hAnsi="Calibri" w:cs="Calibri"/>
          <w:color w:val="002151"/>
          <w:w w:val="110"/>
          <w:kern w:val="20"/>
          <w:szCs w:val="20"/>
        </w:rPr>
        <w:t xml:space="preserve">that </w:t>
      </w:r>
      <w:r w:rsidR="00E6024E">
        <w:rPr>
          <w:rFonts w:ascii="Calibri" w:hAnsi="Calibri" w:cs="Calibri"/>
          <w:color w:val="002151"/>
          <w:w w:val="110"/>
          <w:kern w:val="20"/>
          <w:szCs w:val="20"/>
        </w:rPr>
        <w:t>issuers respect pre-emption rights</w:t>
      </w:r>
      <w:r w:rsidR="009E6E88">
        <w:rPr>
          <w:rFonts w:ascii="Calibri" w:hAnsi="Calibri" w:cs="Calibri"/>
          <w:color w:val="002151"/>
          <w:w w:val="110"/>
          <w:kern w:val="20"/>
          <w:szCs w:val="20"/>
        </w:rPr>
        <w:t xml:space="preserve">. </w:t>
      </w:r>
      <w:r w:rsidR="008F7290">
        <w:rPr>
          <w:rFonts w:ascii="Calibri" w:hAnsi="Calibri" w:cs="Calibri"/>
          <w:color w:val="002151"/>
          <w:w w:val="110"/>
          <w:kern w:val="20"/>
          <w:szCs w:val="20"/>
        </w:rPr>
        <w:t>Despite this</w:t>
      </w:r>
      <w:r w:rsidR="008737CF">
        <w:rPr>
          <w:rFonts w:ascii="Calibri" w:hAnsi="Calibri" w:cs="Calibri"/>
          <w:color w:val="002151"/>
          <w:w w:val="110"/>
          <w:kern w:val="20"/>
          <w:szCs w:val="20"/>
        </w:rPr>
        <w:t xml:space="preserve">, </w:t>
      </w:r>
      <w:proofErr w:type="gramStart"/>
      <w:r w:rsidR="008737CF">
        <w:rPr>
          <w:rFonts w:ascii="Calibri" w:hAnsi="Calibri" w:cs="Calibri"/>
          <w:color w:val="002151"/>
          <w:w w:val="110"/>
          <w:kern w:val="20"/>
          <w:szCs w:val="20"/>
        </w:rPr>
        <w:t>the majority of</w:t>
      </w:r>
      <w:proofErr w:type="gramEnd"/>
      <w:r w:rsidR="008737CF">
        <w:rPr>
          <w:rFonts w:ascii="Calibri" w:hAnsi="Calibri" w:cs="Calibri"/>
          <w:color w:val="002151"/>
          <w:w w:val="110"/>
          <w:kern w:val="20"/>
          <w:szCs w:val="20"/>
        </w:rPr>
        <w:t xml:space="preserve"> issuers</w:t>
      </w:r>
      <w:r w:rsidR="00435140">
        <w:rPr>
          <w:rFonts w:ascii="Calibri" w:hAnsi="Calibri" w:cs="Calibri"/>
          <w:color w:val="002151"/>
          <w:w w:val="110"/>
          <w:kern w:val="20"/>
          <w:szCs w:val="20"/>
        </w:rPr>
        <w:t xml:space="preserve">, recognising the importance of pre-emption, </w:t>
      </w:r>
      <w:r w:rsidR="008737CF">
        <w:rPr>
          <w:rFonts w:ascii="Calibri" w:hAnsi="Calibri" w:cs="Calibri"/>
          <w:color w:val="002151"/>
          <w:w w:val="110"/>
          <w:kern w:val="20"/>
          <w:szCs w:val="20"/>
        </w:rPr>
        <w:t xml:space="preserve">did </w:t>
      </w:r>
      <w:r w:rsidR="00D270C4">
        <w:rPr>
          <w:rFonts w:ascii="Calibri" w:hAnsi="Calibri" w:cs="Calibri"/>
          <w:color w:val="002151"/>
          <w:w w:val="110"/>
          <w:kern w:val="20"/>
          <w:szCs w:val="20"/>
        </w:rPr>
        <w:t xml:space="preserve">ensure that </w:t>
      </w:r>
      <w:r w:rsidR="0065190B">
        <w:rPr>
          <w:rFonts w:ascii="Calibri" w:hAnsi="Calibri" w:cs="Calibri"/>
          <w:color w:val="002151"/>
          <w:w w:val="110"/>
          <w:kern w:val="20"/>
          <w:szCs w:val="20"/>
        </w:rPr>
        <w:t>large shareholder</w:t>
      </w:r>
      <w:r w:rsidR="007E7FB4">
        <w:rPr>
          <w:rFonts w:ascii="Calibri" w:hAnsi="Calibri" w:cs="Calibri"/>
          <w:color w:val="002151"/>
          <w:w w:val="110"/>
          <w:kern w:val="20"/>
          <w:szCs w:val="20"/>
        </w:rPr>
        <w:t>s</w:t>
      </w:r>
      <w:r w:rsidR="0065190B">
        <w:rPr>
          <w:rFonts w:ascii="Calibri" w:hAnsi="Calibri" w:cs="Calibri"/>
          <w:color w:val="002151"/>
          <w:w w:val="110"/>
          <w:kern w:val="20"/>
          <w:szCs w:val="20"/>
        </w:rPr>
        <w:t xml:space="preserve"> received their pro-rat</w:t>
      </w:r>
      <w:r w:rsidR="00435140">
        <w:rPr>
          <w:rFonts w:ascii="Calibri" w:hAnsi="Calibri" w:cs="Calibri"/>
          <w:color w:val="002151"/>
          <w:w w:val="110"/>
          <w:kern w:val="20"/>
          <w:szCs w:val="20"/>
        </w:rPr>
        <w:t>a</w:t>
      </w:r>
      <w:r w:rsidR="0065190B">
        <w:rPr>
          <w:rFonts w:ascii="Calibri" w:hAnsi="Calibri" w:cs="Calibri"/>
          <w:color w:val="002151"/>
          <w:w w:val="110"/>
          <w:kern w:val="20"/>
          <w:szCs w:val="20"/>
        </w:rPr>
        <w:t xml:space="preserve"> </w:t>
      </w:r>
      <w:r w:rsidR="00435140">
        <w:rPr>
          <w:rFonts w:ascii="Calibri" w:hAnsi="Calibri" w:cs="Calibri"/>
          <w:color w:val="002151"/>
          <w:w w:val="110"/>
          <w:kern w:val="20"/>
          <w:szCs w:val="20"/>
        </w:rPr>
        <w:t>entitlement</w:t>
      </w:r>
      <w:r w:rsidR="0065190B">
        <w:rPr>
          <w:rFonts w:ascii="Calibri" w:hAnsi="Calibri" w:cs="Calibri"/>
          <w:color w:val="002151"/>
          <w:w w:val="110"/>
          <w:kern w:val="20"/>
          <w:szCs w:val="20"/>
        </w:rPr>
        <w:t xml:space="preserve"> and </w:t>
      </w:r>
      <w:r w:rsidR="00703A4C">
        <w:rPr>
          <w:rFonts w:ascii="Calibri" w:hAnsi="Calibri" w:cs="Calibri"/>
          <w:color w:val="002151"/>
          <w:w w:val="110"/>
          <w:kern w:val="20"/>
          <w:szCs w:val="20"/>
        </w:rPr>
        <w:t xml:space="preserve">made efforts to </w:t>
      </w:r>
      <w:r w:rsidR="00C82A30" w:rsidRPr="00C82A30">
        <w:rPr>
          <w:rFonts w:ascii="Calibri" w:hAnsi="Calibri" w:cs="Calibri"/>
          <w:color w:val="002151"/>
          <w:w w:val="110"/>
          <w:kern w:val="20"/>
          <w:szCs w:val="20"/>
        </w:rPr>
        <w:t xml:space="preserve">support retail investors to participate in these </w:t>
      </w:r>
      <w:r w:rsidR="00C82A30" w:rsidRPr="00C82A30">
        <w:rPr>
          <w:rFonts w:ascii="Calibri" w:hAnsi="Calibri" w:cs="Calibri"/>
          <w:color w:val="002151"/>
          <w:w w:val="110"/>
          <w:kern w:val="20"/>
          <w:szCs w:val="20"/>
        </w:rPr>
        <w:lastRenderedPageBreak/>
        <w:t>capital raisings</w:t>
      </w:r>
      <w:r w:rsidR="00C82A30">
        <w:rPr>
          <w:rFonts w:ascii="Calibri" w:hAnsi="Calibri" w:cs="Calibri"/>
          <w:color w:val="002151"/>
          <w:w w:val="110"/>
          <w:kern w:val="20"/>
          <w:szCs w:val="20"/>
        </w:rPr>
        <w:t>.</w:t>
      </w:r>
      <w:r w:rsidR="00483649">
        <w:rPr>
          <w:rFonts w:ascii="Calibri" w:hAnsi="Calibri" w:cs="Calibri"/>
          <w:color w:val="002151"/>
          <w:w w:val="110"/>
          <w:kern w:val="20"/>
          <w:szCs w:val="20"/>
        </w:rPr>
        <w:t xml:space="preserve"> Investors felt this flexibility was appropriate </w:t>
      </w:r>
      <w:r w:rsidR="00855F92">
        <w:rPr>
          <w:rFonts w:ascii="Calibri" w:hAnsi="Calibri" w:cs="Calibri"/>
          <w:color w:val="002151"/>
          <w:w w:val="110"/>
          <w:kern w:val="20"/>
          <w:szCs w:val="20"/>
        </w:rPr>
        <w:t>given the un</w:t>
      </w:r>
      <w:r w:rsidR="009D4E78">
        <w:rPr>
          <w:rFonts w:ascii="Calibri" w:hAnsi="Calibri" w:cs="Calibri"/>
          <w:color w:val="002151"/>
          <w:w w:val="110"/>
          <w:kern w:val="20"/>
          <w:szCs w:val="20"/>
        </w:rPr>
        <w:t>precedented circumstances of the pandemic.</w:t>
      </w:r>
    </w:p>
    <w:p w14:paraId="33FB334E" w14:textId="778148E9" w:rsidR="00E97444" w:rsidRDefault="003D7E0C" w:rsidP="00EF2DA4">
      <w:pPr>
        <w:rPr>
          <w:rFonts w:ascii="Calibri" w:hAnsi="Calibri" w:cs="Calibri"/>
          <w:color w:val="002151"/>
          <w:w w:val="110"/>
          <w:kern w:val="20"/>
          <w:szCs w:val="20"/>
        </w:rPr>
      </w:pPr>
      <w:r>
        <w:rPr>
          <w:rFonts w:ascii="Calibri" w:hAnsi="Calibri" w:cs="Calibri"/>
          <w:color w:val="002151"/>
          <w:w w:val="110"/>
          <w:kern w:val="20"/>
          <w:szCs w:val="20"/>
        </w:rPr>
        <w:t xml:space="preserve">However, </w:t>
      </w:r>
      <w:r w:rsidR="00535716">
        <w:rPr>
          <w:rFonts w:ascii="Calibri" w:hAnsi="Calibri" w:cs="Calibri"/>
          <w:color w:val="002151"/>
          <w:w w:val="110"/>
          <w:kern w:val="20"/>
          <w:szCs w:val="20"/>
        </w:rPr>
        <w:t xml:space="preserve">IA members would prefer to see a </w:t>
      </w:r>
      <w:r w:rsidR="0023695E">
        <w:rPr>
          <w:rFonts w:ascii="Calibri" w:hAnsi="Calibri" w:cs="Calibri"/>
          <w:color w:val="002151"/>
          <w:w w:val="110"/>
          <w:kern w:val="20"/>
          <w:szCs w:val="20"/>
        </w:rPr>
        <w:t xml:space="preserve">system of capital raising that provides issuers with the speed </w:t>
      </w:r>
      <w:r w:rsidR="001178C2">
        <w:rPr>
          <w:rFonts w:ascii="Calibri" w:hAnsi="Calibri" w:cs="Calibri"/>
          <w:color w:val="002151"/>
          <w:w w:val="110"/>
          <w:kern w:val="20"/>
          <w:szCs w:val="20"/>
        </w:rPr>
        <w:t xml:space="preserve">offered by undocumented deal structures </w:t>
      </w:r>
      <w:r w:rsidR="00B65D05">
        <w:rPr>
          <w:rFonts w:ascii="Calibri" w:hAnsi="Calibri" w:cs="Calibri"/>
          <w:color w:val="002151"/>
          <w:w w:val="110"/>
          <w:kern w:val="20"/>
          <w:szCs w:val="20"/>
        </w:rPr>
        <w:t>but puts pre-emption rights at the heart of the process.</w:t>
      </w:r>
      <w:r w:rsidR="006704F8">
        <w:rPr>
          <w:rFonts w:ascii="Calibri" w:hAnsi="Calibri" w:cs="Calibri"/>
          <w:color w:val="002151"/>
          <w:w w:val="110"/>
          <w:kern w:val="20"/>
          <w:szCs w:val="20"/>
        </w:rPr>
        <w:t xml:space="preserve"> This review </w:t>
      </w:r>
      <w:r w:rsidR="00FA0ECB">
        <w:rPr>
          <w:rFonts w:ascii="Calibri" w:hAnsi="Calibri" w:cs="Calibri"/>
          <w:color w:val="002151"/>
          <w:w w:val="110"/>
          <w:kern w:val="20"/>
          <w:szCs w:val="20"/>
        </w:rPr>
        <w:t>provides an opportunity to readdress some of the</w:t>
      </w:r>
      <w:r w:rsidR="002916D9">
        <w:rPr>
          <w:rFonts w:ascii="Calibri" w:hAnsi="Calibri" w:cs="Calibri"/>
          <w:color w:val="002151"/>
          <w:w w:val="110"/>
          <w:kern w:val="20"/>
          <w:szCs w:val="20"/>
        </w:rPr>
        <w:t xml:space="preserve"> </w:t>
      </w:r>
      <w:r w:rsidR="00540AAC">
        <w:rPr>
          <w:rFonts w:ascii="Calibri" w:hAnsi="Calibri" w:cs="Calibri"/>
          <w:color w:val="002151"/>
          <w:w w:val="110"/>
          <w:kern w:val="20"/>
          <w:szCs w:val="20"/>
        </w:rPr>
        <w:t xml:space="preserve">barriers to greater use of </w:t>
      </w:r>
      <w:r w:rsidR="00792B07">
        <w:rPr>
          <w:rFonts w:ascii="Calibri" w:hAnsi="Calibri" w:cs="Calibri"/>
          <w:color w:val="002151"/>
          <w:w w:val="110"/>
          <w:kern w:val="20"/>
          <w:szCs w:val="20"/>
        </w:rPr>
        <w:t>fully pre-emptive</w:t>
      </w:r>
      <w:r w:rsidR="00540AAC">
        <w:rPr>
          <w:rFonts w:ascii="Calibri" w:hAnsi="Calibri" w:cs="Calibri"/>
          <w:color w:val="002151"/>
          <w:w w:val="110"/>
          <w:kern w:val="20"/>
          <w:szCs w:val="20"/>
        </w:rPr>
        <w:t xml:space="preserve"> </w:t>
      </w:r>
      <w:proofErr w:type="gramStart"/>
      <w:r w:rsidR="00F43A5F">
        <w:rPr>
          <w:rFonts w:ascii="Calibri" w:hAnsi="Calibri" w:cs="Calibri"/>
          <w:color w:val="002151"/>
          <w:w w:val="110"/>
          <w:kern w:val="20"/>
          <w:szCs w:val="20"/>
        </w:rPr>
        <w:t>issuance</w:t>
      </w:r>
      <w:r w:rsidR="00435140">
        <w:rPr>
          <w:rFonts w:ascii="Calibri" w:hAnsi="Calibri" w:cs="Calibri"/>
          <w:color w:val="002151"/>
          <w:w w:val="110"/>
          <w:kern w:val="20"/>
          <w:szCs w:val="20"/>
        </w:rPr>
        <w:t>s, and</w:t>
      </w:r>
      <w:proofErr w:type="gramEnd"/>
      <w:r w:rsidR="00435140">
        <w:rPr>
          <w:rFonts w:ascii="Calibri" w:hAnsi="Calibri" w:cs="Calibri"/>
          <w:color w:val="002151"/>
          <w:w w:val="110"/>
          <w:kern w:val="20"/>
          <w:szCs w:val="20"/>
        </w:rPr>
        <w:t xml:space="preserve"> facilitate</w:t>
      </w:r>
      <w:r w:rsidR="00540AAC">
        <w:rPr>
          <w:rFonts w:ascii="Calibri" w:hAnsi="Calibri" w:cs="Calibri"/>
          <w:color w:val="002151"/>
          <w:w w:val="110"/>
          <w:kern w:val="20"/>
          <w:szCs w:val="20"/>
        </w:rPr>
        <w:t xml:space="preserve"> capital </w:t>
      </w:r>
      <w:r w:rsidR="007026C5">
        <w:rPr>
          <w:rFonts w:ascii="Calibri" w:hAnsi="Calibri" w:cs="Calibri"/>
          <w:color w:val="002151"/>
          <w:w w:val="110"/>
          <w:kern w:val="20"/>
          <w:szCs w:val="20"/>
        </w:rPr>
        <w:t>raising</w:t>
      </w:r>
      <w:r w:rsidR="00540AAC">
        <w:rPr>
          <w:rFonts w:ascii="Calibri" w:hAnsi="Calibri" w:cs="Calibri"/>
          <w:color w:val="002151"/>
          <w:w w:val="110"/>
          <w:kern w:val="20"/>
          <w:szCs w:val="20"/>
        </w:rPr>
        <w:t xml:space="preserve"> structure</w:t>
      </w:r>
      <w:r w:rsidR="00435140">
        <w:rPr>
          <w:rFonts w:ascii="Calibri" w:hAnsi="Calibri" w:cs="Calibri"/>
          <w:color w:val="002151"/>
          <w:w w:val="110"/>
          <w:kern w:val="20"/>
          <w:szCs w:val="20"/>
        </w:rPr>
        <w:t>s</w:t>
      </w:r>
      <w:r w:rsidR="00CC4D06">
        <w:rPr>
          <w:rFonts w:ascii="Calibri" w:hAnsi="Calibri" w:cs="Calibri"/>
          <w:color w:val="002151"/>
          <w:w w:val="110"/>
          <w:kern w:val="20"/>
          <w:szCs w:val="20"/>
        </w:rPr>
        <w:t xml:space="preserve"> that provides </w:t>
      </w:r>
      <w:r w:rsidR="005A6679">
        <w:rPr>
          <w:rFonts w:ascii="Calibri" w:hAnsi="Calibri" w:cs="Calibri"/>
          <w:color w:val="002151"/>
          <w:w w:val="110"/>
          <w:kern w:val="20"/>
          <w:szCs w:val="20"/>
        </w:rPr>
        <w:t xml:space="preserve">issuers with </w:t>
      </w:r>
      <w:r w:rsidR="00F744CF" w:rsidRPr="00F744CF">
        <w:rPr>
          <w:rFonts w:ascii="Calibri" w:hAnsi="Calibri" w:cs="Calibri"/>
          <w:color w:val="002151"/>
          <w:w w:val="110"/>
          <w:kern w:val="20"/>
          <w:szCs w:val="20"/>
        </w:rPr>
        <w:t xml:space="preserve">ability to raise capital </w:t>
      </w:r>
      <w:r w:rsidR="00F744CF">
        <w:rPr>
          <w:rFonts w:ascii="Calibri" w:hAnsi="Calibri" w:cs="Calibri"/>
          <w:color w:val="002151"/>
          <w:w w:val="110"/>
          <w:kern w:val="20"/>
          <w:szCs w:val="20"/>
        </w:rPr>
        <w:t>at</w:t>
      </w:r>
      <w:r w:rsidR="005A6679">
        <w:rPr>
          <w:rFonts w:ascii="Calibri" w:hAnsi="Calibri" w:cs="Calibri"/>
          <w:color w:val="002151"/>
          <w:w w:val="110"/>
          <w:kern w:val="20"/>
          <w:szCs w:val="20"/>
        </w:rPr>
        <w:t xml:space="preserve"> speed and </w:t>
      </w:r>
      <w:r w:rsidR="00F744CF">
        <w:rPr>
          <w:rFonts w:ascii="Calibri" w:hAnsi="Calibri" w:cs="Calibri"/>
          <w:color w:val="002151"/>
          <w:w w:val="110"/>
          <w:kern w:val="20"/>
          <w:szCs w:val="20"/>
        </w:rPr>
        <w:t>with</w:t>
      </w:r>
      <w:r w:rsidR="005A6679">
        <w:rPr>
          <w:rFonts w:ascii="Calibri" w:hAnsi="Calibri" w:cs="Calibri"/>
          <w:color w:val="002151"/>
          <w:w w:val="110"/>
          <w:kern w:val="20"/>
          <w:szCs w:val="20"/>
        </w:rPr>
        <w:t xml:space="preserve"> flexibility they require while simultaneously maintaining the important shareholder protection of pre-emption rights.</w:t>
      </w:r>
    </w:p>
    <w:p w14:paraId="38FD7775" w14:textId="47E1E46F" w:rsidR="009E102C" w:rsidRDefault="00213465" w:rsidP="00B137BA">
      <w:pPr>
        <w:rPr>
          <w:rFonts w:ascii="Calibri" w:hAnsi="Calibri" w:cs="Calibri"/>
          <w:color w:val="002151"/>
          <w:w w:val="110"/>
          <w:kern w:val="20"/>
          <w:szCs w:val="20"/>
        </w:rPr>
      </w:pPr>
      <w:r w:rsidRPr="00213465">
        <w:rPr>
          <w:rFonts w:ascii="Calibri" w:hAnsi="Calibri" w:cs="Calibri"/>
          <w:color w:val="002151"/>
          <w:w w:val="110"/>
          <w:kern w:val="20"/>
          <w:szCs w:val="20"/>
        </w:rPr>
        <w:t>Pre-emption rights</w:t>
      </w:r>
      <w:r w:rsidR="008B2983">
        <w:rPr>
          <w:rFonts w:ascii="Calibri" w:hAnsi="Calibri" w:cs="Calibri"/>
          <w:color w:val="002151"/>
          <w:w w:val="110"/>
          <w:kern w:val="20"/>
          <w:szCs w:val="20"/>
        </w:rPr>
        <w:t xml:space="preserve"> and Rights issues</w:t>
      </w:r>
      <w:r w:rsidRPr="00213465">
        <w:rPr>
          <w:rFonts w:ascii="Calibri" w:hAnsi="Calibri" w:cs="Calibri"/>
          <w:color w:val="002151"/>
          <w:w w:val="110"/>
          <w:kern w:val="20"/>
          <w:szCs w:val="20"/>
        </w:rPr>
        <w:t xml:space="preserve"> are a major strength of the UK capital raising system</w:t>
      </w:r>
      <w:r w:rsidR="00003017">
        <w:rPr>
          <w:rFonts w:ascii="Calibri" w:hAnsi="Calibri" w:cs="Calibri"/>
          <w:color w:val="002151"/>
          <w:w w:val="110"/>
          <w:kern w:val="20"/>
          <w:szCs w:val="20"/>
        </w:rPr>
        <w:t xml:space="preserve">, </w:t>
      </w:r>
      <w:r w:rsidRPr="00213465">
        <w:rPr>
          <w:rFonts w:ascii="Calibri" w:hAnsi="Calibri" w:cs="Calibri"/>
          <w:color w:val="002151"/>
          <w:w w:val="110"/>
          <w:kern w:val="20"/>
          <w:szCs w:val="20"/>
        </w:rPr>
        <w:t>represent</w:t>
      </w:r>
      <w:r w:rsidR="00003017">
        <w:rPr>
          <w:rFonts w:ascii="Calibri" w:hAnsi="Calibri" w:cs="Calibri"/>
          <w:color w:val="002151"/>
          <w:w w:val="110"/>
          <w:kern w:val="20"/>
          <w:szCs w:val="20"/>
        </w:rPr>
        <w:t>ing</w:t>
      </w:r>
      <w:r w:rsidRPr="00213465">
        <w:rPr>
          <w:rFonts w:ascii="Calibri" w:hAnsi="Calibri" w:cs="Calibri"/>
          <w:color w:val="002151"/>
          <w:w w:val="110"/>
          <w:kern w:val="20"/>
          <w:szCs w:val="20"/>
        </w:rPr>
        <w:t xml:space="preserve"> one of the most fundamental shareholder</w:t>
      </w:r>
      <w:r w:rsidR="00003017">
        <w:rPr>
          <w:rFonts w:ascii="Calibri" w:hAnsi="Calibri" w:cs="Calibri"/>
          <w:color w:val="002151"/>
          <w:w w:val="110"/>
          <w:kern w:val="20"/>
          <w:szCs w:val="20"/>
        </w:rPr>
        <w:t xml:space="preserve"> rights</w:t>
      </w:r>
      <w:r w:rsidR="00435140">
        <w:rPr>
          <w:rFonts w:ascii="Calibri" w:hAnsi="Calibri" w:cs="Calibri"/>
          <w:color w:val="002151"/>
          <w:w w:val="110"/>
          <w:kern w:val="20"/>
          <w:szCs w:val="20"/>
        </w:rPr>
        <w:t>, key to this is the following:</w:t>
      </w:r>
    </w:p>
    <w:p w14:paraId="12F3237B" w14:textId="09BDA46F" w:rsidR="00FF6192" w:rsidRDefault="009E102C" w:rsidP="009E102C">
      <w:pPr>
        <w:pStyle w:val="ListParagraph"/>
        <w:numPr>
          <w:ilvl w:val="0"/>
          <w:numId w:val="22"/>
        </w:numPr>
        <w:rPr>
          <w:rFonts w:cs="Calibri"/>
        </w:rPr>
      </w:pPr>
      <w:r>
        <w:rPr>
          <w:rFonts w:cs="Calibri"/>
        </w:rPr>
        <w:t xml:space="preserve">Dilution - </w:t>
      </w:r>
      <w:r w:rsidR="00AB6E5D" w:rsidRPr="009E102C">
        <w:rPr>
          <w:rFonts w:cs="Calibri"/>
        </w:rPr>
        <w:t xml:space="preserve">The protection of minority shareholders from the dilutive effects of large non-pre-emptive capital raises provides investors with the confidence to invest their capital through the UK’s listed markets. </w:t>
      </w:r>
      <w:r w:rsidR="00003017" w:rsidRPr="009E102C">
        <w:rPr>
          <w:rFonts w:cs="Calibri"/>
        </w:rPr>
        <w:t>D</w:t>
      </w:r>
      <w:r w:rsidR="00213465" w:rsidRPr="009E102C">
        <w:rPr>
          <w:rFonts w:cs="Calibri"/>
        </w:rPr>
        <w:t>is</w:t>
      </w:r>
      <w:r w:rsidR="00AB6E5D" w:rsidRPr="009E102C">
        <w:rPr>
          <w:rFonts w:cs="Calibri"/>
        </w:rPr>
        <w:t>-</w:t>
      </w:r>
      <w:r w:rsidR="00213465" w:rsidRPr="009E102C">
        <w:rPr>
          <w:rFonts w:cs="Calibri"/>
        </w:rPr>
        <w:t>applying them for larger capital raises poses a considerable threat to investors and the interests of their clients and beneficiaries, including retail and pension savers, whose savings they manage. Any weakening of pre-emption rights will therefore significantly undermine confidence in UK equity markets, adversely impacting on the ability to attract the capital of both domestic and overseas investors to the UK’s equity markets.</w:t>
      </w:r>
    </w:p>
    <w:p w14:paraId="55543526" w14:textId="77777777" w:rsidR="00FF6192" w:rsidRDefault="00FF6192" w:rsidP="002E1AD6">
      <w:pPr>
        <w:pStyle w:val="ListParagraph"/>
        <w:rPr>
          <w:rFonts w:cs="Calibri"/>
        </w:rPr>
      </w:pPr>
    </w:p>
    <w:p w14:paraId="7FB1B38E" w14:textId="3DF48583" w:rsidR="009E102C" w:rsidRDefault="00FF6192" w:rsidP="00435140">
      <w:pPr>
        <w:pStyle w:val="ListParagraph"/>
        <w:numPr>
          <w:ilvl w:val="0"/>
          <w:numId w:val="22"/>
        </w:numPr>
      </w:pPr>
      <w:r>
        <w:rPr>
          <w:rFonts w:cs="Calibri"/>
        </w:rPr>
        <w:t>Tradable rights - T</w:t>
      </w:r>
      <w:r w:rsidRPr="00FF6192">
        <w:rPr>
          <w:rFonts w:cs="Calibri"/>
        </w:rPr>
        <w:t xml:space="preserve">he ability of shareholders to trade their entitlement to subscribe to shares is a key feature of rights issues and distinguishes them from open offers.  This enables </w:t>
      </w:r>
      <w:r w:rsidR="002B4879">
        <w:rPr>
          <w:rFonts w:cs="Calibri"/>
        </w:rPr>
        <w:t xml:space="preserve">shareholders </w:t>
      </w:r>
      <w:r w:rsidRPr="00FF6192">
        <w:rPr>
          <w:rFonts w:cs="Calibri"/>
        </w:rPr>
        <w:t>to receive compensation for suffering dilution if they do not wish to increase their investment.</w:t>
      </w:r>
    </w:p>
    <w:p w14:paraId="1C34A1F9" w14:textId="1C9B5F04" w:rsidR="00250E67" w:rsidRPr="009E102C" w:rsidRDefault="00250E67" w:rsidP="002E1AD6">
      <w:pPr>
        <w:pStyle w:val="ListParagraph"/>
        <w:rPr>
          <w:rFonts w:cs="Calibri"/>
        </w:rPr>
      </w:pPr>
    </w:p>
    <w:p w14:paraId="3AB87412" w14:textId="7254E583" w:rsidR="00AB6E5D" w:rsidRDefault="00AB6E5D" w:rsidP="00B137BA">
      <w:pPr>
        <w:rPr>
          <w:rFonts w:ascii="Calibri" w:hAnsi="Calibri" w:cs="Calibri"/>
          <w:color w:val="002151"/>
          <w:w w:val="110"/>
          <w:kern w:val="20"/>
          <w:szCs w:val="20"/>
        </w:rPr>
      </w:pPr>
      <w:r w:rsidRPr="00AB6E5D">
        <w:rPr>
          <w:rFonts w:ascii="Calibri" w:hAnsi="Calibri" w:cs="Calibri"/>
          <w:color w:val="002151"/>
          <w:w w:val="110"/>
          <w:kern w:val="20"/>
          <w:szCs w:val="20"/>
        </w:rPr>
        <w:t>Any amendments made to the rights issue process should reflect the importance of pre-emption rights and ensure that there is no adverse impact.</w:t>
      </w:r>
    </w:p>
    <w:p w14:paraId="01FC003E" w14:textId="673FDFFA" w:rsidR="004837C9" w:rsidRDefault="003E69C2" w:rsidP="004837C9">
      <w:pPr>
        <w:rPr>
          <w:rFonts w:ascii="Calibri" w:hAnsi="Calibri" w:cs="Calibri"/>
          <w:color w:val="002151"/>
          <w:w w:val="110"/>
          <w:kern w:val="20"/>
          <w:szCs w:val="20"/>
        </w:rPr>
      </w:pPr>
      <w:r>
        <w:rPr>
          <w:rFonts w:ascii="Calibri" w:hAnsi="Calibri" w:cs="Calibri"/>
          <w:color w:val="002151"/>
          <w:w w:val="110"/>
          <w:kern w:val="20"/>
          <w:szCs w:val="20"/>
        </w:rPr>
        <w:t>Despite the above, and the advantageous features of rights issues for all stakeholders</w:t>
      </w:r>
      <w:r w:rsidR="003F0598">
        <w:rPr>
          <w:rFonts w:ascii="Calibri" w:hAnsi="Calibri" w:cs="Calibri"/>
          <w:color w:val="002151"/>
          <w:w w:val="110"/>
          <w:kern w:val="20"/>
          <w:szCs w:val="20"/>
        </w:rPr>
        <w:t>,</w:t>
      </w:r>
      <w:r>
        <w:rPr>
          <w:rFonts w:ascii="Calibri" w:hAnsi="Calibri" w:cs="Calibri"/>
          <w:color w:val="002151"/>
          <w:w w:val="110"/>
          <w:kern w:val="20"/>
          <w:szCs w:val="20"/>
        </w:rPr>
        <w:t xml:space="preserve"> there are </w:t>
      </w:r>
      <w:proofErr w:type="gramStart"/>
      <w:r>
        <w:rPr>
          <w:rFonts w:ascii="Calibri" w:hAnsi="Calibri" w:cs="Calibri"/>
          <w:color w:val="002151"/>
          <w:w w:val="110"/>
          <w:kern w:val="20"/>
          <w:szCs w:val="20"/>
        </w:rPr>
        <w:t>a number of</w:t>
      </w:r>
      <w:proofErr w:type="gramEnd"/>
      <w:r>
        <w:rPr>
          <w:rFonts w:ascii="Calibri" w:hAnsi="Calibri" w:cs="Calibri"/>
          <w:color w:val="002151"/>
          <w:w w:val="110"/>
          <w:kern w:val="20"/>
          <w:szCs w:val="20"/>
        </w:rPr>
        <w:t xml:space="preserve"> barriers and disincentives to their use as a form of capital raising which </w:t>
      </w:r>
      <w:r w:rsidR="00CC7FB0">
        <w:rPr>
          <w:rFonts w:ascii="Calibri" w:hAnsi="Calibri" w:cs="Calibri"/>
          <w:color w:val="002151"/>
          <w:w w:val="110"/>
          <w:kern w:val="20"/>
          <w:szCs w:val="20"/>
        </w:rPr>
        <w:t>has resulted in companies opting to use other forms of structures</w:t>
      </w:r>
      <w:r w:rsidR="0042776E">
        <w:rPr>
          <w:rFonts w:ascii="Calibri" w:hAnsi="Calibri" w:cs="Calibri"/>
          <w:color w:val="002151"/>
          <w:w w:val="110"/>
          <w:kern w:val="20"/>
          <w:szCs w:val="20"/>
        </w:rPr>
        <w:t>, as demonstrated by the</w:t>
      </w:r>
      <w:r w:rsidR="00D74934">
        <w:rPr>
          <w:rFonts w:ascii="Calibri" w:hAnsi="Calibri" w:cs="Calibri"/>
          <w:color w:val="002151"/>
          <w:w w:val="110"/>
          <w:kern w:val="20"/>
          <w:szCs w:val="20"/>
        </w:rPr>
        <w:t xml:space="preserve"> use of accelerated book builds and cash boxe</w:t>
      </w:r>
      <w:r w:rsidR="00253F35">
        <w:rPr>
          <w:rFonts w:ascii="Calibri" w:hAnsi="Calibri" w:cs="Calibri"/>
          <w:color w:val="002151"/>
          <w:w w:val="110"/>
          <w:kern w:val="20"/>
          <w:szCs w:val="20"/>
        </w:rPr>
        <w:t>s</w:t>
      </w:r>
      <w:r w:rsidR="00D74934">
        <w:rPr>
          <w:rFonts w:ascii="Calibri" w:hAnsi="Calibri" w:cs="Calibri"/>
          <w:color w:val="002151"/>
          <w:w w:val="110"/>
          <w:kern w:val="20"/>
          <w:szCs w:val="20"/>
        </w:rPr>
        <w:t xml:space="preserve"> over the pandemic</w:t>
      </w:r>
      <w:r w:rsidR="00CC7FB0">
        <w:rPr>
          <w:rFonts w:ascii="Calibri" w:hAnsi="Calibri" w:cs="Calibri"/>
          <w:color w:val="002151"/>
          <w:w w:val="110"/>
          <w:kern w:val="20"/>
          <w:szCs w:val="20"/>
        </w:rPr>
        <w:t>.</w:t>
      </w:r>
      <w:r w:rsidR="004837C9">
        <w:rPr>
          <w:rFonts w:ascii="Calibri" w:hAnsi="Calibri" w:cs="Calibri"/>
          <w:color w:val="002151"/>
          <w:w w:val="110"/>
          <w:kern w:val="20"/>
          <w:szCs w:val="20"/>
        </w:rPr>
        <w:t xml:space="preserve"> </w:t>
      </w:r>
    </w:p>
    <w:p w14:paraId="1F52AEEB" w14:textId="6A4A0E0F" w:rsidR="004837C9" w:rsidRDefault="00594191" w:rsidP="004837C9">
      <w:pPr>
        <w:rPr>
          <w:rFonts w:ascii="Calibri" w:hAnsi="Calibri" w:cs="Calibri"/>
          <w:color w:val="002151"/>
          <w:w w:val="110"/>
          <w:kern w:val="20"/>
          <w:szCs w:val="20"/>
        </w:rPr>
      </w:pPr>
      <w:r>
        <w:rPr>
          <w:rFonts w:ascii="Calibri" w:hAnsi="Calibri" w:cs="Calibri"/>
          <w:color w:val="002151"/>
          <w:w w:val="110"/>
          <w:kern w:val="20"/>
          <w:szCs w:val="20"/>
        </w:rPr>
        <w:t>In response to the call for evidence we address some of the specific areas of questioning and highlight some additional measures which the review should consider:</w:t>
      </w:r>
    </w:p>
    <w:p w14:paraId="360A4BC3" w14:textId="3EE5A007" w:rsidR="00594191" w:rsidRDefault="00594191" w:rsidP="00FA12FF">
      <w:pPr>
        <w:pStyle w:val="ListParagraph"/>
        <w:numPr>
          <w:ilvl w:val="0"/>
          <w:numId w:val="19"/>
        </w:numPr>
        <w:rPr>
          <w:rFonts w:cs="Calibri"/>
        </w:rPr>
      </w:pPr>
      <w:r>
        <w:rPr>
          <w:rFonts w:cs="Calibri"/>
        </w:rPr>
        <w:t>Prospectus Regulations - The requirement for</w:t>
      </w:r>
      <w:r w:rsidR="00AB6E5D">
        <w:rPr>
          <w:rFonts w:cs="Calibri"/>
        </w:rPr>
        <w:t xml:space="preserve"> full</w:t>
      </w:r>
      <w:r>
        <w:rPr>
          <w:rFonts w:cs="Calibri"/>
        </w:rPr>
        <w:t xml:space="preserve"> prospectuses for rights issues above 20% of Issued Share Capital is </w:t>
      </w:r>
      <w:r w:rsidR="006118ED">
        <w:rPr>
          <w:rFonts w:cs="Calibri"/>
        </w:rPr>
        <w:t>inefficient and disproportionate when considering the informati</w:t>
      </w:r>
      <w:r w:rsidR="00FA12FF">
        <w:rPr>
          <w:rFonts w:cs="Calibri"/>
        </w:rPr>
        <w:t>on needs</w:t>
      </w:r>
      <w:r>
        <w:rPr>
          <w:rFonts w:cs="Calibri"/>
        </w:rPr>
        <w:t xml:space="preserve"> of investors. </w:t>
      </w:r>
      <w:r w:rsidR="00A36B42">
        <w:rPr>
          <w:rFonts w:cs="Calibri"/>
        </w:rPr>
        <w:t>Instead</w:t>
      </w:r>
      <w:r w:rsidR="002B570E">
        <w:rPr>
          <w:rFonts w:cs="Calibri"/>
        </w:rPr>
        <w:t>,</w:t>
      </w:r>
      <w:r w:rsidR="00A36B42">
        <w:rPr>
          <w:rFonts w:cs="Calibri"/>
        </w:rPr>
        <w:t xml:space="preserve"> issuers should be required to produce a shorter document focused on the use of proceeds.</w:t>
      </w:r>
    </w:p>
    <w:p w14:paraId="34EC1B68" w14:textId="79334076" w:rsidR="00F538D2" w:rsidRDefault="00594191" w:rsidP="00BF1853">
      <w:pPr>
        <w:pStyle w:val="ListParagraph"/>
        <w:numPr>
          <w:ilvl w:val="0"/>
          <w:numId w:val="19"/>
        </w:numPr>
        <w:rPr>
          <w:rFonts w:cs="Calibri"/>
        </w:rPr>
      </w:pPr>
      <w:r>
        <w:rPr>
          <w:rFonts w:cs="Calibri"/>
        </w:rPr>
        <w:t>Contingent Trading</w:t>
      </w:r>
      <w:r w:rsidR="0007393A">
        <w:rPr>
          <w:rFonts w:cs="Calibri"/>
        </w:rPr>
        <w:t xml:space="preserve"> – </w:t>
      </w:r>
      <w:r w:rsidR="00964D21" w:rsidRPr="006A76BB">
        <w:rPr>
          <w:rFonts w:cs="Calibri"/>
          <w:b/>
          <w:bCs/>
          <w:highlight w:val="yellow"/>
        </w:rPr>
        <w:t>We would welcome mem</w:t>
      </w:r>
      <w:r w:rsidR="00683F1B" w:rsidRPr="006A76BB">
        <w:rPr>
          <w:rFonts w:cs="Calibri"/>
          <w:b/>
          <w:bCs/>
          <w:highlight w:val="yellow"/>
        </w:rPr>
        <w:t xml:space="preserve">ber </w:t>
      </w:r>
      <w:r w:rsidR="00B2037D" w:rsidRPr="006A76BB">
        <w:rPr>
          <w:rFonts w:cs="Calibri"/>
          <w:b/>
          <w:bCs/>
          <w:highlight w:val="yellow"/>
        </w:rPr>
        <w:t>feedback</w:t>
      </w:r>
      <w:r w:rsidR="000A5269">
        <w:rPr>
          <w:rFonts w:cs="Calibri"/>
        </w:rPr>
        <w:t>.</w:t>
      </w:r>
    </w:p>
    <w:p w14:paraId="3E3CE40E" w14:textId="406F973C" w:rsidR="006A76BB" w:rsidRPr="00BF1853" w:rsidRDefault="006A76BB" w:rsidP="00BF1853">
      <w:pPr>
        <w:pStyle w:val="ListParagraph"/>
        <w:numPr>
          <w:ilvl w:val="0"/>
          <w:numId w:val="19"/>
        </w:numPr>
        <w:rPr>
          <w:rFonts w:cs="Calibri"/>
        </w:rPr>
      </w:pPr>
      <w:r>
        <w:rPr>
          <w:rFonts w:cs="Calibri"/>
        </w:rPr>
        <w:t xml:space="preserve">Alternative Structures – </w:t>
      </w:r>
      <w:r w:rsidRPr="006A76BB">
        <w:rPr>
          <w:rFonts w:cs="Calibri"/>
          <w:b/>
          <w:bCs/>
          <w:highlight w:val="yellow"/>
        </w:rPr>
        <w:t>We would welcome member feedback</w:t>
      </w:r>
      <w:r>
        <w:rPr>
          <w:rFonts w:cs="Calibri"/>
          <w:b/>
          <w:bCs/>
        </w:rPr>
        <w:t>.</w:t>
      </w:r>
    </w:p>
    <w:p w14:paraId="31C002F2" w14:textId="54BB725B" w:rsidR="00594191" w:rsidRDefault="00594191" w:rsidP="00594191">
      <w:pPr>
        <w:pStyle w:val="ListParagraph"/>
        <w:numPr>
          <w:ilvl w:val="0"/>
          <w:numId w:val="19"/>
        </w:numPr>
        <w:rPr>
          <w:rFonts w:cs="Calibri"/>
        </w:rPr>
      </w:pPr>
      <w:r>
        <w:rPr>
          <w:rFonts w:cs="Calibri"/>
        </w:rPr>
        <w:t xml:space="preserve">Role of short-sellers </w:t>
      </w:r>
      <w:r w:rsidR="00E622D7">
        <w:rPr>
          <w:rFonts w:cs="Calibri"/>
        </w:rPr>
        <w:t>–</w:t>
      </w:r>
      <w:r>
        <w:rPr>
          <w:rFonts w:cs="Calibri"/>
        </w:rPr>
        <w:t xml:space="preserve"> </w:t>
      </w:r>
      <w:r w:rsidR="000A5269" w:rsidRPr="006A76BB">
        <w:rPr>
          <w:rFonts w:cs="Calibri"/>
          <w:b/>
          <w:bCs/>
          <w:highlight w:val="yellow"/>
        </w:rPr>
        <w:t>We would welcome member feedback</w:t>
      </w:r>
      <w:r w:rsidR="00E622D7" w:rsidRPr="0054119C">
        <w:rPr>
          <w:rFonts w:cs="Calibri"/>
          <w:highlight w:val="yellow"/>
        </w:rPr>
        <w:t>.</w:t>
      </w:r>
    </w:p>
    <w:p w14:paraId="06DD8621" w14:textId="3DF91DD4" w:rsidR="005B3326" w:rsidRDefault="005B3326" w:rsidP="00435140"/>
    <w:p w14:paraId="2158265D" w14:textId="77777777" w:rsidR="00435140" w:rsidRDefault="00435140">
      <w:pPr>
        <w:rPr>
          <w:rFonts w:ascii="Calibri" w:hAnsi="Calibri" w:cs="Calibri"/>
          <w:b/>
          <w:color w:val="002151"/>
          <w:w w:val="110"/>
          <w:kern w:val="20"/>
          <w:szCs w:val="20"/>
        </w:rPr>
      </w:pPr>
      <w:r>
        <w:rPr>
          <w:rFonts w:ascii="Calibri" w:hAnsi="Calibri" w:cs="Calibri"/>
          <w:b/>
          <w:color w:val="002151"/>
          <w:w w:val="110"/>
          <w:kern w:val="20"/>
          <w:szCs w:val="20"/>
        </w:rPr>
        <w:br w:type="page"/>
      </w:r>
    </w:p>
    <w:p w14:paraId="6BA797C8" w14:textId="1C591A71" w:rsidR="002D2FFD" w:rsidRPr="003F0598" w:rsidRDefault="002D2FFD" w:rsidP="002D2FFD">
      <w:pPr>
        <w:rPr>
          <w:rFonts w:ascii="Calibri" w:hAnsi="Calibri" w:cs="Calibri"/>
          <w:b/>
          <w:color w:val="002151"/>
          <w:w w:val="110"/>
          <w:kern w:val="20"/>
          <w:szCs w:val="20"/>
        </w:rPr>
      </w:pPr>
      <w:r w:rsidRPr="003F0598">
        <w:rPr>
          <w:rFonts w:ascii="Calibri" w:hAnsi="Calibri" w:cs="Calibri"/>
          <w:b/>
          <w:color w:val="002151"/>
          <w:w w:val="110"/>
          <w:kern w:val="20"/>
          <w:szCs w:val="20"/>
        </w:rPr>
        <w:t>Questions</w:t>
      </w:r>
    </w:p>
    <w:p w14:paraId="1776BFA1" w14:textId="77777777" w:rsidR="002D2FFD" w:rsidRPr="0062156C" w:rsidRDefault="002D2FFD" w:rsidP="002D2FFD">
      <w:pPr>
        <w:pStyle w:val="BodyText"/>
        <w:tabs>
          <w:tab w:val="left" w:pos="1560"/>
        </w:tabs>
        <w:rPr>
          <w:rFonts w:cs="Calibri"/>
          <w:b/>
          <w:sz w:val="20"/>
        </w:rPr>
      </w:pPr>
    </w:p>
    <w:p w14:paraId="5998E9BD" w14:textId="481B1785" w:rsidR="00F440B1" w:rsidRPr="001F1AE5" w:rsidRDefault="002D2FFD" w:rsidP="00174497">
      <w:pPr>
        <w:pStyle w:val="ListParagraph"/>
        <w:numPr>
          <w:ilvl w:val="0"/>
          <w:numId w:val="2"/>
        </w:numPr>
        <w:rPr>
          <w:rFonts w:cs="Calibri"/>
        </w:rPr>
      </w:pPr>
      <w:r w:rsidRPr="0062156C">
        <w:rPr>
          <w:rFonts w:cs="Calibri"/>
          <w:b/>
        </w:rPr>
        <w:lastRenderedPageBreak/>
        <w:t xml:space="preserve">Can and should the overall duration and cost of the existing UK rights issue process be reduced? In what ways? </w:t>
      </w:r>
    </w:p>
    <w:p w14:paraId="18957698" w14:textId="77777777" w:rsidR="00174497" w:rsidRPr="00174497" w:rsidRDefault="00174497" w:rsidP="001F1AE5">
      <w:pPr>
        <w:pStyle w:val="ListParagraph"/>
        <w:rPr>
          <w:rFonts w:cs="Calibri"/>
        </w:rPr>
      </w:pPr>
    </w:p>
    <w:p w14:paraId="6C502224" w14:textId="42F70A72" w:rsidR="00ED7EAA" w:rsidRDefault="00B210F0" w:rsidP="00ED7EAA">
      <w:pPr>
        <w:jc w:val="both"/>
        <w:rPr>
          <w:rFonts w:ascii="Calibri" w:hAnsi="Calibri" w:cs="Calibri"/>
          <w:color w:val="002151"/>
          <w:w w:val="110"/>
          <w:kern w:val="20"/>
          <w:szCs w:val="20"/>
        </w:rPr>
      </w:pPr>
      <w:r>
        <w:rPr>
          <w:rFonts w:ascii="Calibri" w:hAnsi="Calibri" w:cs="Calibri"/>
          <w:color w:val="002151"/>
          <w:w w:val="110"/>
          <w:kern w:val="20"/>
          <w:szCs w:val="20"/>
        </w:rPr>
        <w:t xml:space="preserve">IA members </w:t>
      </w:r>
      <w:r w:rsidR="00A23A17">
        <w:rPr>
          <w:rFonts w:ascii="Calibri" w:hAnsi="Calibri" w:cs="Calibri"/>
          <w:color w:val="002151"/>
          <w:w w:val="110"/>
          <w:kern w:val="20"/>
          <w:szCs w:val="20"/>
        </w:rPr>
        <w:t xml:space="preserve">support </w:t>
      </w:r>
      <w:r>
        <w:rPr>
          <w:rFonts w:ascii="Calibri" w:hAnsi="Calibri" w:cs="Calibri"/>
          <w:color w:val="002151"/>
          <w:w w:val="110"/>
          <w:kern w:val="20"/>
          <w:szCs w:val="20"/>
        </w:rPr>
        <w:t>the Review</w:t>
      </w:r>
      <w:r w:rsidR="00D5375B">
        <w:rPr>
          <w:rFonts w:ascii="Calibri" w:hAnsi="Calibri" w:cs="Calibri"/>
          <w:color w:val="002151"/>
          <w:w w:val="110"/>
          <w:kern w:val="20"/>
          <w:szCs w:val="20"/>
        </w:rPr>
        <w:t>’s ambition</w:t>
      </w:r>
      <w:r>
        <w:rPr>
          <w:rFonts w:ascii="Calibri" w:hAnsi="Calibri" w:cs="Calibri"/>
          <w:color w:val="002151"/>
          <w:w w:val="110"/>
          <w:kern w:val="20"/>
          <w:szCs w:val="20"/>
        </w:rPr>
        <w:t xml:space="preserve"> to seek ways to reduce the overall duration and costs of the existing rights issue process. </w:t>
      </w:r>
      <w:r w:rsidR="003370FF">
        <w:rPr>
          <w:rFonts w:ascii="Calibri" w:hAnsi="Calibri" w:cs="Calibri"/>
          <w:color w:val="002151"/>
          <w:w w:val="110"/>
          <w:kern w:val="20"/>
          <w:szCs w:val="20"/>
        </w:rPr>
        <w:t xml:space="preserve">The </w:t>
      </w:r>
      <w:r w:rsidR="00ED7EAA">
        <w:rPr>
          <w:rFonts w:ascii="Calibri" w:hAnsi="Calibri" w:cs="Calibri"/>
          <w:color w:val="002151"/>
          <w:w w:val="110"/>
          <w:kern w:val="20"/>
          <w:szCs w:val="20"/>
        </w:rPr>
        <w:t xml:space="preserve">current duration of </w:t>
      </w:r>
      <w:r w:rsidR="003370FF">
        <w:rPr>
          <w:rFonts w:ascii="Calibri" w:hAnsi="Calibri" w:cs="Calibri"/>
          <w:color w:val="002151"/>
          <w:w w:val="110"/>
          <w:kern w:val="20"/>
          <w:szCs w:val="20"/>
        </w:rPr>
        <w:t xml:space="preserve">a rights issue exposes the share price to increased risk, which </w:t>
      </w:r>
      <w:r w:rsidR="00DB25C1">
        <w:rPr>
          <w:rFonts w:ascii="Calibri" w:hAnsi="Calibri" w:cs="Calibri"/>
          <w:color w:val="002151"/>
          <w:w w:val="110"/>
          <w:kern w:val="20"/>
          <w:szCs w:val="20"/>
        </w:rPr>
        <w:t>jeopardises</w:t>
      </w:r>
      <w:r w:rsidR="003370FF">
        <w:rPr>
          <w:rFonts w:ascii="Calibri" w:hAnsi="Calibri" w:cs="Calibri"/>
          <w:color w:val="002151"/>
          <w:w w:val="110"/>
          <w:kern w:val="20"/>
          <w:szCs w:val="20"/>
        </w:rPr>
        <w:t xml:space="preserve"> the</w:t>
      </w:r>
      <w:r w:rsidR="00BF26F4">
        <w:rPr>
          <w:rFonts w:ascii="Calibri" w:hAnsi="Calibri" w:cs="Calibri"/>
          <w:color w:val="002151"/>
          <w:w w:val="110"/>
          <w:kern w:val="20"/>
          <w:szCs w:val="20"/>
        </w:rPr>
        <w:t xml:space="preserve"> completion of the offer</w:t>
      </w:r>
      <w:r w:rsidR="004E3889">
        <w:rPr>
          <w:rFonts w:ascii="Calibri" w:hAnsi="Calibri" w:cs="Calibri"/>
          <w:color w:val="002151"/>
          <w:w w:val="110"/>
          <w:kern w:val="20"/>
          <w:szCs w:val="20"/>
        </w:rPr>
        <w:t xml:space="preserve"> and </w:t>
      </w:r>
      <w:r w:rsidR="0094699C">
        <w:rPr>
          <w:rFonts w:ascii="Calibri" w:hAnsi="Calibri" w:cs="Calibri"/>
          <w:color w:val="002151"/>
          <w:w w:val="110"/>
          <w:kern w:val="20"/>
          <w:szCs w:val="20"/>
        </w:rPr>
        <w:t>drives a larger</w:t>
      </w:r>
      <w:r w:rsidR="00987493">
        <w:rPr>
          <w:rFonts w:ascii="Calibri" w:hAnsi="Calibri" w:cs="Calibri"/>
          <w:color w:val="002151"/>
          <w:w w:val="110"/>
          <w:kern w:val="20"/>
          <w:szCs w:val="20"/>
        </w:rPr>
        <w:t xml:space="preserve"> discount</w:t>
      </w:r>
      <w:r w:rsidR="00ED7EAA">
        <w:rPr>
          <w:rFonts w:ascii="Calibri" w:hAnsi="Calibri" w:cs="Calibri"/>
          <w:color w:val="002151"/>
          <w:w w:val="110"/>
          <w:kern w:val="20"/>
          <w:szCs w:val="20"/>
        </w:rPr>
        <w:t>, serving neither</w:t>
      </w:r>
      <w:r w:rsidR="00181E16">
        <w:rPr>
          <w:rFonts w:ascii="Calibri" w:hAnsi="Calibri" w:cs="Calibri"/>
          <w:color w:val="002151"/>
          <w:w w:val="110"/>
          <w:kern w:val="20"/>
          <w:szCs w:val="20"/>
        </w:rPr>
        <w:t xml:space="preserve"> the</w:t>
      </w:r>
      <w:r w:rsidR="00ED7EAA">
        <w:rPr>
          <w:rFonts w:ascii="Calibri" w:hAnsi="Calibri" w:cs="Calibri"/>
          <w:color w:val="002151"/>
          <w:w w:val="110"/>
          <w:kern w:val="20"/>
          <w:szCs w:val="20"/>
        </w:rPr>
        <w:t xml:space="preserve"> issuer nor </w:t>
      </w:r>
      <w:r w:rsidR="008F438E">
        <w:rPr>
          <w:rFonts w:ascii="Calibri" w:hAnsi="Calibri" w:cs="Calibri"/>
          <w:color w:val="002151"/>
          <w:w w:val="110"/>
          <w:kern w:val="20"/>
          <w:szCs w:val="20"/>
        </w:rPr>
        <w:t>shareholder</w:t>
      </w:r>
      <w:r w:rsidR="00ED7EAA">
        <w:rPr>
          <w:rFonts w:ascii="Calibri" w:hAnsi="Calibri" w:cs="Calibri"/>
          <w:color w:val="002151"/>
          <w:w w:val="110"/>
          <w:kern w:val="20"/>
          <w:szCs w:val="20"/>
        </w:rPr>
        <w:t xml:space="preserve">s. The elongated </w:t>
      </w:r>
      <w:proofErr w:type="gramStart"/>
      <w:r w:rsidR="00ED7EAA">
        <w:rPr>
          <w:rFonts w:ascii="Calibri" w:hAnsi="Calibri" w:cs="Calibri"/>
          <w:color w:val="002151"/>
          <w:w w:val="110"/>
          <w:kern w:val="20"/>
          <w:szCs w:val="20"/>
        </w:rPr>
        <w:t>time-frame</w:t>
      </w:r>
      <w:proofErr w:type="gramEnd"/>
      <w:r w:rsidR="00ED7EAA">
        <w:rPr>
          <w:rFonts w:ascii="Calibri" w:hAnsi="Calibri" w:cs="Calibri"/>
          <w:color w:val="002151"/>
          <w:w w:val="110"/>
          <w:kern w:val="20"/>
          <w:szCs w:val="20"/>
        </w:rPr>
        <w:t xml:space="preserve"> also </w:t>
      </w:r>
      <w:r w:rsidR="00ED7EAA" w:rsidRPr="00ED7EAA">
        <w:rPr>
          <w:rFonts w:ascii="Calibri" w:hAnsi="Calibri" w:cs="Calibri"/>
          <w:color w:val="002151"/>
          <w:w w:val="110"/>
          <w:kern w:val="20"/>
          <w:szCs w:val="20"/>
        </w:rPr>
        <w:t>means that</w:t>
      </w:r>
      <w:r w:rsidR="00181E16">
        <w:rPr>
          <w:rFonts w:ascii="Calibri" w:hAnsi="Calibri" w:cs="Calibri"/>
          <w:color w:val="002151"/>
          <w:w w:val="110"/>
          <w:kern w:val="20"/>
          <w:szCs w:val="20"/>
        </w:rPr>
        <w:t xml:space="preserve"> </w:t>
      </w:r>
      <w:r w:rsidR="00ED7EAA" w:rsidRPr="00ED7EAA">
        <w:rPr>
          <w:rFonts w:ascii="Calibri" w:hAnsi="Calibri" w:cs="Calibri"/>
          <w:color w:val="002151"/>
          <w:w w:val="110"/>
          <w:kern w:val="20"/>
          <w:szCs w:val="20"/>
        </w:rPr>
        <w:t>issuers are unable to raise capital at sufficient speed</w:t>
      </w:r>
      <w:r w:rsidR="00D74934">
        <w:rPr>
          <w:rFonts w:ascii="Calibri" w:hAnsi="Calibri" w:cs="Calibri"/>
          <w:color w:val="002151"/>
          <w:w w:val="110"/>
          <w:kern w:val="20"/>
          <w:szCs w:val="20"/>
        </w:rPr>
        <w:t xml:space="preserve"> </w:t>
      </w:r>
      <w:r w:rsidR="00686F2D">
        <w:rPr>
          <w:rFonts w:ascii="Calibri" w:hAnsi="Calibri" w:cs="Calibri"/>
          <w:color w:val="002151"/>
          <w:w w:val="110"/>
          <w:kern w:val="20"/>
          <w:szCs w:val="20"/>
        </w:rPr>
        <w:t>when</w:t>
      </w:r>
      <w:r w:rsidR="00D74934">
        <w:rPr>
          <w:rFonts w:ascii="Calibri" w:hAnsi="Calibri" w:cs="Calibri"/>
          <w:color w:val="002151"/>
          <w:w w:val="110"/>
          <w:kern w:val="20"/>
          <w:szCs w:val="20"/>
        </w:rPr>
        <w:t xml:space="preserve"> they need access to emergency funds</w:t>
      </w:r>
      <w:r w:rsidR="00181E16">
        <w:rPr>
          <w:rFonts w:ascii="Calibri" w:hAnsi="Calibri" w:cs="Calibri"/>
          <w:color w:val="002151"/>
          <w:w w:val="110"/>
          <w:kern w:val="20"/>
          <w:szCs w:val="20"/>
        </w:rPr>
        <w:t xml:space="preserve">. This creates an incentive for issuers </w:t>
      </w:r>
      <w:r w:rsidR="00ED7EAA" w:rsidRPr="00ED7EAA">
        <w:rPr>
          <w:rFonts w:ascii="Calibri" w:hAnsi="Calibri" w:cs="Calibri"/>
          <w:color w:val="002151"/>
          <w:w w:val="110"/>
          <w:kern w:val="20"/>
          <w:szCs w:val="20"/>
        </w:rPr>
        <w:t>to raise capital through alternative, non-pre-emptive means.</w:t>
      </w:r>
    </w:p>
    <w:p w14:paraId="2C2967BA" w14:textId="707CD737" w:rsidR="00F440B1" w:rsidRPr="00F440B1" w:rsidRDefault="00F440B1" w:rsidP="0020190C">
      <w:pPr>
        <w:jc w:val="both"/>
        <w:rPr>
          <w:rFonts w:ascii="Calibri" w:hAnsi="Calibri" w:cs="Calibri"/>
          <w:color w:val="002151"/>
          <w:w w:val="110"/>
          <w:kern w:val="20"/>
          <w:szCs w:val="20"/>
        </w:rPr>
      </w:pPr>
      <w:r w:rsidRPr="00F440B1">
        <w:rPr>
          <w:rFonts w:ascii="Calibri" w:hAnsi="Calibri" w:cs="Calibri"/>
          <w:color w:val="002151"/>
          <w:w w:val="110"/>
          <w:kern w:val="20"/>
          <w:szCs w:val="20"/>
        </w:rPr>
        <w:t xml:space="preserve">The </w:t>
      </w:r>
      <w:r w:rsidR="00181E16">
        <w:rPr>
          <w:rFonts w:ascii="Calibri" w:hAnsi="Calibri" w:cs="Calibri"/>
          <w:color w:val="002151"/>
          <w:w w:val="110"/>
          <w:kern w:val="20"/>
          <w:szCs w:val="20"/>
        </w:rPr>
        <w:t xml:space="preserve">high </w:t>
      </w:r>
      <w:r w:rsidRPr="00F440B1">
        <w:rPr>
          <w:rFonts w:ascii="Calibri" w:hAnsi="Calibri" w:cs="Calibri"/>
          <w:color w:val="002151"/>
          <w:w w:val="110"/>
          <w:kern w:val="20"/>
          <w:szCs w:val="20"/>
        </w:rPr>
        <w:t>costs and duration of the current rights issue process in the UK</w:t>
      </w:r>
      <w:r w:rsidR="00181E16">
        <w:rPr>
          <w:rFonts w:ascii="Calibri" w:hAnsi="Calibri" w:cs="Calibri"/>
          <w:color w:val="002151"/>
          <w:w w:val="110"/>
          <w:kern w:val="20"/>
          <w:szCs w:val="20"/>
        </w:rPr>
        <w:t xml:space="preserve"> can be attributed to different sources at different stages</w:t>
      </w:r>
      <w:r w:rsidRPr="00F440B1">
        <w:rPr>
          <w:rFonts w:ascii="Calibri" w:hAnsi="Calibri" w:cs="Calibri"/>
          <w:color w:val="002151"/>
          <w:w w:val="110"/>
          <w:kern w:val="20"/>
          <w:szCs w:val="20"/>
        </w:rPr>
        <w:t>:</w:t>
      </w:r>
    </w:p>
    <w:p w14:paraId="5A5CEB4F" w14:textId="2D2FCB4A" w:rsidR="00F440B1" w:rsidRDefault="00F440B1" w:rsidP="0020190C">
      <w:pPr>
        <w:pStyle w:val="ListParagraph"/>
        <w:numPr>
          <w:ilvl w:val="0"/>
          <w:numId w:val="15"/>
        </w:numPr>
        <w:jc w:val="both"/>
        <w:rPr>
          <w:rFonts w:cs="Calibri"/>
        </w:rPr>
      </w:pPr>
      <w:r w:rsidRPr="00637A0B">
        <w:rPr>
          <w:rFonts w:cs="Calibri"/>
        </w:rPr>
        <w:t>Prospectus Regulations</w:t>
      </w:r>
    </w:p>
    <w:p w14:paraId="1D969FC4" w14:textId="77777777" w:rsidR="00637A0B" w:rsidRPr="00637A0B" w:rsidRDefault="00637A0B" w:rsidP="0020190C">
      <w:pPr>
        <w:pStyle w:val="ListParagraph"/>
        <w:jc w:val="both"/>
        <w:rPr>
          <w:rFonts w:cs="Calibri"/>
        </w:rPr>
      </w:pPr>
    </w:p>
    <w:p w14:paraId="6FE904D8" w14:textId="516B69B9" w:rsidR="0069302E" w:rsidRDefault="00AB78D7" w:rsidP="0020190C">
      <w:pPr>
        <w:jc w:val="both"/>
        <w:rPr>
          <w:rFonts w:ascii="Calibri" w:hAnsi="Calibri" w:cs="Calibri"/>
          <w:color w:val="002151"/>
          <w:w w:val="110"/>
          <w:kern w:val="20"/>
          <w:szCs w:val="20"/>
        </w:rPr>
      </w:pPr>
      <w:r w:rsidRPr="00AB78D7">
        <w:rPr>
          <w:rFonts w:ascii="Calibri" w:hAnsi="Calibri" w:cs="Calibri"/>
          <w:color w:val="002151"/>
          <w:w w:val="110"/>
          <w:kern w:val="20"/>
          <w:szCs w:val="20"/>
        </w:rPr>
        <w:t>The requirement to produce a</w:t>
      </w:r>
      <w:r w:rsidR="00181E16">
        <w:rPr>
          <w:rFonts w:ascii="Calibri" w:hAnsi="Calibri" w:cs="Calibri"/>
          <w:color w:val="002151"/>
          <w:w w:val="110"/>
          <w:kern w:val="20"/>
          <w:szCs w:val="20"/>
        </w:rPr>
        <w:t xml:space="preserve"> full</w:t>
      </w:r>
      <w:r w:rsidRPr="00AB78D7">
        <w:rPr>
          <w:rFonts w:ascii="Calibri" w:hAnsi="Calibri" w:cs="Calibri"/>
          <w:color w:val="002151"/>
          <w:w w:val="110"/>
          <w:kern w:val="20"/>
          <w:szCs w:val="20"/>
        </w:rPr>
        <w:t xml:space="preserve"> prospectus in connection with any rights issue that would exceed the 20% threshold, as outlined in Article 1(5) a of the </w:t>
      </w:r>
      <w:r>
        <w:rPr>
          <w:rFonts w:ascii="Calibri" w:hAnsi="Calibri" w:cs="Calibri"/>
          <w:color w:val="002151"/>
          <w:w w:val="110"/>
          <w:kern w:val="20"/>
          <w:szCs w:val="20"/>
        </w:rPr>
        <w:t xml:space="preserve">current </w:t>
      </w:r>
      <w:hyperlink r:id="rId11" w:history="1">
        <w:r w:rsidRPr="00AB78D7">
          <w:rPr>
            <w:rStyle w:val="Hyperlink"/>
            <w:rFonts w:ascii="Calibri" w:hAnsi="Calibri" w:cs="Calibri"/>
            <w:w w:val="110"/>
            <w:kern w:val="20"/>
            <w:szCs w:val="20"/>
          </w:rPr>
          <w:t>Prospectus Regulations</w:t>
        </w:r>
      </w:hyperlink>
      <w:r w:rsidRPr="00AB78D7">
        <w:rPr>
          <w:rFonts w:ascii="Calibri" w:hAnsi="Calibri" w:cs="Calibri"/>
          <w:color w:val="002151"/>
          <w:w w:val="110"/>
          <w:kern w:val="20"/>
          <w:szCs w:val="20"/>
        </w:rPr>
        <w:t xml:space="preserve"> is </w:t>
      </w:r>
      <w:r w:rsidR="00637A0B">
        <w:rPr>
          <w:rFonts w:ascii="Calibri" w:hAnsi="Calibri" w:cs="Calibri"/>
          <w:color w:val="002151"/>
          <w:w w:val="110"/>
          <w:kern w:val="20"/>
          <w:szCs w:val="20"/>
        </w:rPr>
        <w:t xml:space="preserve">a significant contributor to the overall </w:t>
      </w:r>
      <w:r>
        <w:rPr>
          <w:rFonts w:ascii="Calibri" w:hAnsi="Calibri" w:cs="Calibri"/>
          <w:color w:val="002151"/>
          <w:w w:val="110"/>
          <w:kern w:val="20"/>
          <w:szCs w:val="20"/>
        </w:rPr>
        <w:t xml:space="preserve">costs and </w:t>
      </w:r>
      <w:r w:rsidR="00637A0B">
        <w:rPr>
          <w:rFonts w:ascii="Calibri" w:hAnsi="Calibri" w:cs="Calibri"/>
          <w:color w:val="002151"/>
          <w:w w:val="110"/>
          <w:kern w:val="20"/>
          <w:szCs w:val="20"/>
        </w:rPr>
        <w:t xml:space="preserve">duration of the </w:t>
      </w:r>
      <w:r>
        <w:rPr>
          <w:rFonts w:ascii="Calibri" w:hAnsi="Calibri" w:cs="Calibri"/>
          <w:color w:val="002151"/>
          <w:w w:val="110"/>
          <w:kern w:val="20"/>
          <w:szCs w:val="20"/>
        </w:rPr>
        <w:t xml:space="preserve">rights issue </w:t>
      </w:r>
      <w:r w:rsidR="00637A0B">
        <w:rPr>
          <w:rFonts w:ascii="Calibri" w:hAnsi="Calibri" w:cs="Calibri"/>
          <w:color w:val="002151"/>
          <w:w w:val="110"/>
          <w:kern w:val="20"/>
          <w:szCs w:val="20"/>
        </w:rPr>
        <w:t>process</w:t>
      </w:r>
      <w:r>
        <w:rPr>
          <w:rFonts w:ascii="Calibri" w:hAnsi="Calibri" w:cs="Calibri"/>
          <w:color w:val="002151"/>
          <w:w w:val="110"/>
          <w:kern w:val="20"/>
          <w:szCs w:val="20"/>
        </w:rPr>
        <w:t xml:space="preserve">. The process of preparing </w:t>
      </w:r>
      <w:r w:rsidR="0036561B">
        <w:rPr>
          <w:rFonts w:ascii="Calibri" w:hAnsi="Calibri" w:cs="Calibri"/>
          <w:color w:val="002151"/>
          <w:w w:val="110"/>
          <w:kern w:val="20"/>
          <w:szCs w:val="20"/>
        </w:rPr>
        <w:t xml:space="preserve">an FCA approved </w:t>
      </w:r>
      <w:r w:rsidR="008F6BCF">
        <w:rPr>
          <w:rFonts w:ascii="Calibri" w:hAnsi="Calibri" w:cs="Calibri"/>
          <w:color w:val="002151"/>
          <w:w w:val="110"/>
          <w:kern w:val="20"/>
          <w:szCs w:val="20"/>
        </w:rPr>
        <w:t>prospectus</w:t>
      </w:r>
      <w:r w:rsidR="0036561B">
        <w:rPr>
          <w:rFonts w:ascii="Calibri" w:hAnsi="Calibri" w:cs="Calibri"/>
          <w:color w:val="002151"/>
          <w:w w:val="110"/>
          <w:kern w:val="20"/>
          <w:szCs w:val="20"/>
        </w:rPr>
        <w:t xml:space="preserve"> regularly takes </w:t>
      </w:r>
      <w:r w:rsidR="00166316">
        <w:rPr>
          <w:rFonts w:ascii="Calibri" w:hAnsi="Calibri" w:cs="Calibri"/>
          <w:color w:val="002151"/>
          <w:w w:val="110"/>
          <w:kern w:val="20"/>
          <w:szCs w:val="20"/>
        </w:rPr>
        <w:t>several</w:t>
      </w:r>
      <w:r w:rsidR="0036561B">
        <w:rPr>
          <w:rFonts w:ascii="Calibri" w:hAnsi="Calibri" w:cs="Calibri"/>
          <w:color w:val="002151"/>
          <w:w w:val="110"/>
          <w:kern w:val="20"/>
          <w:szCs w:val="20"/>
        </w:rPr>
        <w:t xml:space="preserve"> weeks</w:t>
      </w:r>
      <w:r w:rsidR="00B210F0">
        <w:rPr>
          <w:rFonts w:ascii="Calibri" w:hAnsi="Calibri" w:cs="Calibri"/>
          <w:color w:val="002151"/>
          <w:w w:val="110"/>
          <w:kern w:val="20"/>
          <w:szCs w:val="20"/>
        </w:rPr>
        <w:t>, making it far longer than other methods of raising capital.</w:t>
      </w:r>
      <w:r w:rsidR="00637A0B">
        <w:rPr>
          <w:rFonts w:ascii="Calibri" w:hAnsi="Calibri" w:cs="Calibri"/>
          <w:color w:val="002151"/>
          <w:w w:val="110"/>
          <w:kern w:val="20"/>
          <w:szCs w:val="20"/>
        </w:rPr>
        <w:t xml:space="preserve"> </w:t>
      </w:r>
    </w:p>
    <w:p w14:paraId="207D54E4" w14:textId="04A63E5E" w:rsidR="00760D36" w:rsidRDefault="00DD0501" w:rsidP="0020190C">
      <w:pPr>
        <w:jc w:val="both"/>
        <w:rPr>
          <w:rFonts w:ascii="Calibri" w:hAnsi="Calibri" w:cs="Calibri"/>
          <w:color w:val="002151"/>
          <w:w w:val="110"/>
          <w:kern w:val="20"/>
          <w:szCs w:val="20"/>
        </w:rPr>
      </w:pPr>
      <w:proofErr w:type="gramStart"/>
      <w:r>
        <w:rPr>
          <w:rFonts w:ascii="Calibri" w:hAnsi="Calibri" w:cs="Calibri"/>
          <w:color w:val="002151"/>
          <w:w w:val="110"/>
          <w:kern w:val="20"/>
          <w:szCs w:val="20"/>
        </w:rPr>
        <w:t>In light of</w:t>
      </w:r>
      <w:proofErr w:type="gramEnd"/>
      <w:r>
        <w:rPr>
          <w:rFonts w:ascii="Calibri" w:hAnsi="Calibri" w:cs="Calibri"/>
          <w:color w:val="002151"/>
          <w:w w:val="110"/>
          <w:kern w:val="20"/>
          <w:szCs w:val="20"/>
        </w:rPr>
        <w:t xml:space="preserve"> this, the IA and our members welcomed proposals within HMT’s consultation on the UK Prospectus Regime to exclude offers directed at existing security holders from public offer rules.</w:t>
      </w:r>
      <w:r w:rsidR="00760D36">
        <w:rPr>
          <w:rFonts w:ascii="Calibri" w:hAnsi="Calibri" w:cs="Calibri"/>
          <w:color w:val="002151"/>
          <w:w w:val="110"/>
          <w:kern w:val="20"/>
          <w:szCs w:val="20"/>
        </w:rPr>
        <w:t xml:space="preserve"> </w:t>
      </w:r>
      <w:r w:rsidR="00D751D7" w:rsidRPr="00D751D7">
        <w:rPr>
          <w:rFonts w:ascii="Calibri" w:hAnsi="Calibri" w:cs="Calibri"/>
          <w:color w:val="002151"/>
          <w:w w:val="110"/>
          <w:kern w:val="20"/>
          <w:szCs w:val="20"/>
        </w:rPr>
        <w:t>This will remove a key barrier for</w:t>
      </w:r>
      <w:r w:rsidR="00D751D7">
        <w:rPr>
          <w:rFonts w:ascii="Calibri" w:hAnsi="Calibri" w:cs="Calibri"/>
          <w:color w:val="002151"/>
          <w:w w:val="110"/>
          <w:kern w:val="20"/>
          <w:szCs w:val="20"/>
        </w:rPr>
        <w:t xml:space="preserve"> </w:t>
      </w:r>
      <w:r w:rsidR="00D751D7" w:rsidRPr="00D751D7">
        <w:rPr>
          <w:rFonts w:ascii="Calibri" w:hAnsi="Calibri" w:cs="Calibri"/>
          <w:color w:val="002151"/>
          <w:w w:val="110"/>
          <w:kern w:val="20"/>
          <w:szCs w:val="20"/>
        </w:rPr>
        <w:t>issuers who wish to do the right thing by raising capital on a pre-emptive basis, thereby</w:t>
      </w:r>
      <w:r w:rsidR="00D751D7">
        <w:rPr>
          <w:rFonts w:ascii="Calibri" w:hAnsi="Calibri" w:cs="Calibri"/>
          <w:color w:val="002151"/>
          <w:w w:val="110"/>
          <w:kern w:val="20"/>
          <w:szCs w:val="20"/>
        </w:rPr>
        <w:t xml:space="preserve"> </w:t>
      </w:r>
      <w:r w:rsidR="00D751D7" w:rsidRPr="00D751D7">
        <w:rPr>
          <w:rFonts w:ascii="Calibri" w:hAnsi="Calibri" w:cs="Calibri"/>
          <w:color w:val="002151"/>
          <w:w w:val="110"/>
          <w:kern w:val="20"/>
          <w:szCs w:val="20"/>
        </w:rPr>
        <w:t>protecting their shareholders from dilution</w:t>
      </w:r>
      <w:r w:rsidR="00D751D7">
        <w:rPr>
          <w:rFonts w:ascii="Calibri" w:hAnsi="Calibri" w:cs="Calibri"/>
          <w:color w:val="002151"/>
          <w:w w:val="110"/>
          <w:kern w:val="20"/>
          <w:szCs w:val="20"/>
        </w:rPr>
        <w:t>.</w:t>
      </w:r>
    </w:p>
    <w:p w14:paraId="36A4E233" w14:textId="740CF459" w:rsidR="00760D36" w:rsidRDefault="00760D36" w:rsidP="0020190C">
      <w:pPr>
        <w:jc w:val="both"/>
        <w:rPr>
          <w:rFonts w:ascii="Calibri" w:hAnsi="Calibri" w:cs="Calibri"/>
          <w:color w:val="002151"/>
          <w:w w:val="110"/>
          <w:kern w:val="20"/>
          <w:szCs w:val="20"/>
        </w:rPr>
      </w:pPr>
      <w:r>
        <w:rPr>
          <w:rFonts w:ascii="Calibri" w:hAnsi="Calibri" w:cs="Calibri"/>
          <w:color w:val="002151"/>
          <w:w w:val="110"/>
          <w:kern w:val="20"/>
          <w:szCs w:val="20"/>
        </w:rPr>
        <w:t>A full prospectus has little additional marginal value to existing shareholder</w:t>
      </w:r>
      <w:r w:rsidR="00B0392E">
        <w:rPr>
          <w:rFonts w:ascii="Calibri" w:hAnsi="Calibri" w:cs="Calibri"/>
          <w:color w:val="002151"/>
          <w:w w:val="110"/>
          <w:kern w:val="20"/>
          <w:szCs w:val="20"/>
        </w:rPr>
        <w:t>s</w:t>
      </w:r>
      <w:r>
        <w:rPr>
          <w:rFonts w:ascii="Calibri" w:hAnsi="Calibri" w:cs="Calibri"/>
          <w:color w:val="002151"/>
          <w:w w:val="110"/>
          <w:kern w:val="20"/>
          <w:szCs w:val="20"/>
        </w:rPr>
        <w:t xml:space="preserve"> who will </w:t>
      </w:r>
      <w:r w:rsidRPr="00760D36">
        <w:rPr>
          <w:rFonts w:ascii="Calibri" w:hAnsi="Calibri" w:cs="Calibri"/>
          <w:color w:val="002151"/>
          <w:w w:val="110"/>
          <w:kern w:val="20"/>
          <w:szCs w:val="20"/>
        </w:rPr>
        <w:t>already be familiar with the</w:t>
      </w:r>
      <w:r>
        <w:rPr>
          <w:rFonts w:ascii="Calibri" w:hAnsi="Calibri" w:cs="Calibri"/>
          <w:color w:val="002151"/>
          <w:w w:val="110"/>
          <w:kern w:val="20"/>
          <w:szCs w:val="20"/>
        </w:rPr>
        <w:t xml:space="preserve"> </w:t>
      </w:r>
      <w:r w:rsidRPr="00760D36">
        <w:rPr>
          <w:rFonts w:ascii="Calibri" w:hAnsi="Calibri" w:cs="Calibri"/>
          <w:color w:val="002151"/>
          <w:w w:val="110"/>
          <w:kern w:val="20"/>
          <w:szCs w:val="20"/>
        </w:rPr>
        <w:t>issuer, and</w:t>
      </w:r>
      <w:r>
        <w:rPr>
          <w:rFonts w:ascii="Calibri" w:hAnsi="Calibri" w:cs="Calibri"/>
          <w:color w:val="002151"/>
          <w:w w:val="110"/>
          <w:kern w:val="20"/>
          <w:szCs w:val="20"/>
        </w:rPr>
        <w:t xml:space="preserve"> its business model. Furthermore, the same securities are already freely trading on a </w:t>
      </w:r>
      <w:proofErr w:type="gramStart"/>
      <w:r>
        <w:rPr>
          <w:rFonts w:ascii="Calibri" w:hAnsi="Calibri" w:cs="Calibri"/>
          <w:color w:val="002151"/>
          <w:w w:val="110"/>
          <w:kern w:val="20"/>
          <w:szCs w:val="20"/>
        </w:rPr>
        <w:t>highly-regulated</w:t>
      </w:r>
      <w:proofErr w:type="gramEnd"/>
      <w:r>
        <w:rPr>
          <w:rFonts w:ascii="Calibri" w:hAnsi="Calibri" w:cs="Calibri"/>
          <w:color w:val="002151"/>
          <w:w w:val="110"/>
          <w:kern w:val="20"/>
          <w:szCs w:val="20"/>
        </w:rPr>
        <w:t xml:space="preserve"> market, and are allowed to do so because the market is deemed to be well informed. </w:t>
      </w:r>
      <w:r w:rsidR="007803D9">
        <w:rPr>
          <w:rFonts w:ascii="Calibri" w:hAnsi="Calibri" w:cs="Calibri"/>
          <w:color w:val="002151"/>
          <w:w w:val="110"/>
          <w:kern w:val="20"/>
          <w:szCs w:val="20"/>
        </w:rPr>
        <w:t>Issuers are</w:t>
      </w:r>
      <w:r w:rsidRPr="00760D36">
        <w:rPr>
          <w:rFonts w:ascii="Calibri" w:hAnsi="Calibri" w:cs="Calibri"/>
          <w:color w:val="002151"/>
          <w:w w:val="110"/>
          <w:kern w:val="20"/>
          <w:szCs w:val="20"/>
        </w:rPr>
        <w:t xml:space="preserve"> subject to </w:t>
      </w:r>
      <w:proofErr w:type="gramStart"/>
      <w:r w:rsidRPr="00760D36">
        <w:rPr>
          <w:rFonts w:ascii="Calibri" w:hAnsi="Calibri" w:cs="Calibri"/>
          <w:color w:val="002151"/>
          <w:w w:val="110"/>
          <w:kern w:val="20"/>
          <w:szCs w:val="20"/>
        </w:rPr>
        <w:t>a number of</w:t>
      </w:r>
      <w:proofErr w:type="gramEnd"/>
      <w:r w:rsidRPr="00760D36">
        <w:rPr>
          <w:rFonts w:ascii="Calibri" w:hAnsi="Calibri" w:cs="Calibri"/>
          <w:color w:val="002151"/>
          <w:w w:val="110"/>
          <w:kern w:val="20"/>
          <w:szCs w:val="20"/>
        </w:rPr>
        <w:t xml:space="preserve"> ongoing disclosure obligations </w:t>
      </w:r>
      <w:r w:rsidR="00D12BBE">
        <w:rPr>
          <w:rFonts w:ascii="Calibri" w:hAnsi="Calibri" w:cs="Calibri"/>
          <w:color w:val="002151"/>
          <w:w w:val="110"/>
          <w:kern w:val="20"/>
          <w:szCs w:val="20"/>
        </w:rPr>
        <w:t>that ensure they</w:t>
      </w:r>
      <w:r w:rsidRPr="00760D36">
        <w:rPr>
          <w:rFonts w:ascii="Calibri" w:hAnsi="Calibri" w:cs="Calibri"/>
          <w:color w:val="002151"/>
          <w:w w:val="110"/>
          <w:kern w:val="20"/>
          <w:szCs w:val="20"/>
        </w:rPr>
        <w:t xml:space="preserve"> inform</w:t>
      </w:r>
      <w:r w:rsidR="00D12BBE">
        <w:rPr>
          <w:rFonts w:ascii="Calibri" w:hAnsi="Calibri" w:cs="Calibri"/>
          <w:color w:val="002151"/>
          <w:w w:val="110"/>
          <w:kern w:val="20"/>
          <w:szCs w:val="20"/>
        </w:rPr>
        <w:t xml:space="preserve"> </w:t>
      </w:r>
      <w:r>
        <w:rPr>
          <w:rFonts w:ascii="Calibri" w:hAnsi="Calibri" w:cs="Calibri"/>
          <w:color w:val="002151"/>
          <w:w w:val="110"/>
          <w:kern w:val="20"/>
          <w:szCs w:val="20"/>
        </w:rPr>
        <w:t>shareholders and the wider</w:t>
      </w:r>
      <w:r w:rsidRPr="00760D36">
        <w:rPr>
          <w:rFonts w:ascii="Calibri" w:hAnsi="Calibri" w:cs="Calibri"/>
          <w:color w:val="002151"/>
          <w:w w:val="110"/>
          <w:kern w:val="20"/>
          <w:szCs w:val="20"/>
        </w:rPr>
        <w:t xml:space="preserve"> market of any developments which are material to </w:t>
      </w:r>
      <w:r>
        <w:rPr>
          <w:rFonts w:ascii="Calibri" w:hAnsi="Calibri" w:cs="Calibri"/>
          <w:color w:val="002151"/>
          <w:w w:val="110"/>
          <w:kern w:val="20"/>
          <w:szCs w:val="20"/>
        </w:rPr>
        <w:t>the</w:t>
      </w:r>
      <w:r w:rsidRPr="00760D36">
        <w:rPr>
          <w:rFonts w:ascii="Calibri" w:hAnsi="Calibri" w:cs="Calibri"/>
          <w:color w:val="002151"/>
          <w:w w:val="110"/>
          <w:kern w:val="20"/>
          <w:szCs w:val="20"/>
        </w:rPr>
        <w:t xml:space="preserve"> value</w:t>
      </w:r>
      <w:r w:rsidR="00E950DE">
        <w:rPr>
          <w:rFonts w:ascii="Calibri" w:hAnsi="Calibri" w:cs="Calibri"/>
          <w:color w:val="002151"/>
          <w:w w:val="110"/>
          <w:kern w:val="20"/>
          <w:szCs w:val="20"/>
        </w:rPr>
        <w:t xml:space="preserve"> of the securities</w:t>
      </w:r>
      <w:r w:rsidRPr="00760D36">
        <w:rPr>
          <w:rFonts w:ascii="Calibri" w:hAnsi="Calibri" w:cs="Calibri"/>
          <w:color w:val="002151"/>
          <w:w w:val="110"/>
          <w:kern w:val="20"/>
          <w:szCs w:val="20"/>
        </w:rPr>
        <w:t>.</w:t>
      </w:r>
    </w:p>
    <w:p w14:paraId="06052129" w14:textId="4A116302" w:rsidR="00760D36" w:rsidRDefault="00C16286" w:rsidP="0020190C">
      <w:pPr>
        <w:jc w:val="both"/>
        <w:rPr>
          <w:rFonts w:ascii="Calibri" w:hAnsi="Calibri" w:cs="Calibri"/>
          <w:color w:val="002151"/>
          <w:w w:val="110"/>
          <w:kern w:val="20"/>
          <w:szCs w:val="20"/>
        </w:rPr>
      </w:pPr>
      <w:r>
        <w:rPr>
          <w:rFonts w:ascii="Calibri" w:hAnsi="Calibri" w:cs="Calibri"/>
          <w:color w:val="002151"/>
          <w:w w:val="110"/>
          <w:kern w:val="20"/>
          <w:szCs w:val="20"/>
        </w:rPr>
        <w:t>P</w:t>
      </w:r>
      <w:r w:rsidR="007803D9">
        <w:rPr>
          <w:rFonts w:ascii="Calibri" w:hAnsi="Calibri" w:cs="Calibri"/>
          <w:color w:val="002151"/>
          <w:w w:val="110"/>
          <w:kern w:val="20"/>
          <w:szCs w:val="20"/>
        </w:rPr>
        <w:t>rospectuses prepared in connection with a rights issue often</w:t>
      </w:r>
      <w:r w:rsidR="007803D9" w:rsidRPr="007803D9">
        <w:rPr>
          <w:rFonts w:ascii="Calibri" w:hAnsi="Calibri" w:cs="Calibri"/>
          <w:color w:val="002151"/>
          <w:w w:val="110"/>
          <w:kern w:val="20"/>
          <w:szCs w:val="20"/>
        </w:rPr>
        <w:t xml:space="preserve"> contain large amounts of duplicated publicly available information. Requiring that this information is repeated in</w:t>
      </w:r>
      <w:r w:rsidR="007803D9">
        <w:rPr>
          <w:rFonts w:ascii="Calibri" w:hAnsi="Calibri" w:cs="Calibri"/>
          <w:color w:val="002151"/>
          <w:w w:val="110"/>
          <w:kern w:val="20"/>
          <w:szCs w:val="20"/>
        </w:rPr>
        <w:t xml:space="preserve"> a full</w:t>
      </w:r>
      <w:r w:rsidR="007803D9" w:rsidRPr="007803D9">
        <w:rPr>
          <w:rFonts w:ascii="Calibri" w:hAnsi="Calibri" w:cs="Calibri"/>
          <w:color w:val="002151"/>
          <w:w w:val="110"/>
          <w:kern w:val="20"/>
          <w:szCs w:val="20"/>
        </w:rPr>
        <w:t xml:space="preserve"> prospectus not only increases the time and costs burden for</w:t>
      </w:r>
      <w:r w:rsidR="007803D9">
        <w:rPr>
          <w:rFonts w:ascii="Calibri" w:hAnsi="Calibri" w:cs="Calibri"/>
          <w:color w:val="002151"/>
          <w:w w:val="110"/>
          <w:kern w:val="20"/>
          <w:szCs w:val="20"/>
        </w:rPr>
        <w:t xml:space="preserve"> </w:t>
      </w:r>
      <w:proofErr w:type="gramStart"/>
      <w:r w:rsidR="007803D9" w:rsidRPr="007803D9">
        <w:rPr>
          <w:rFonts w:ascii="Calibri" w:hAnsi="Calibri" w:cs="Calibri"/>
          <w:color w:val="002151"/>
          <w:w w:val="110"/>
          <w:kern w:val="20"/>
          <w:szCs w:val="20"/>
        </w:rPr>
        <w:t>issuers, but</w:t>
      </w:r>
      <w:proofErr w:type="gramEnd"/>
      <w:r w:rsidR="007803D9" w:rsidRPr="007803D9">
        <w:rPr>
          <w:rFonts w:ascii="Calibri" w:hAnsi="Calibri" w:cs="Calibri"/>
          <w:color w:val="002151"/>
          <w:w w:val="110"/>
          <w:kern w:val="20"/>
          <w:szCs w:val="20"/>
        </w:rPr>
        <w:t xml:space="preserve"> makes them increasingly long and may even detract from </w:t>
      </w:r>
      <w:r w:rsidR="007803D9">
        <w:rPr>
          <w:rFonts w:ascii="Calibri" w:hAnsi="Calibri" w:cs="Calibri"/>
          <w:color w:val="002151"/>
          <w:w w:val="110"/>
          <w:kern w:val="20"/>
          <w:szCs w:val="20"/>
        </w:rPr>
        <w:t xml:space="preserve">any </w:t>
      </w:r>
      <w:r w:rsidR="007803D9" w:rsidRPr="007803D9">
        <w:rPr>
          <w:rFonts w:ascii="Calibri" w:hAnsi="Calibri" w:cs="Calibri"/>
          <w:color w:val="002151"/>
          <w:w w:val="110"/>
          <w:kern w:val="20"/>
          <w:szCs w:val="20"/>
        </w:rPr>
        <w:t>important new or</w:t>
      </w:r>
      <w:r w:rsidR="007803D9">
        <w:rPr>
          <w:rFonts w:ascii="Calibri" w:hAnsi="Calibri" w:cs="Calibri"/>
          <w:color w:val="002151"/>
          <w:w w:val="110"/>
          <w:kern w:val="20"/>
          <w:szCs w:val="20"/>
        </w:rPr>
        <w:t xml:space="preserve"> </w:t>
      </w:r>
      <w:r w:rsidR="007803D9" w:rsidRPr="007803D9">
        <w:rPr>
          <w:rFonts w:ascii="Calibri" w:hAnsi="Calibri" w:cs="Calibri"/>
          <w:color w:val="002151"/>
          <w:w w:val="110"/>
          <w:kern w:val="20"/>
          <w:szCs w:val="20"/>
        </w:rPr>
        <w:t>offer-specific information</w:t>
      </w:r>
      <w:r w:rsidR="007803D9">
        <w:rPr>
          <w:rFonts w:ascii="Calibri" w:hAnsi="Calibri" w:cs="Calibri"/>
          <w:color w:val="002151"/>
          <w:w w:val="110"/>
          <w:kern w:val="20"/>
          <w:szCs w:val="20"/>
        </w:rPr>
        <w:t xml:space="preserve"> within the document.</w:t>
      </w:r>
      <w:r w:rsidR="00D751D7">
        <w:rPr>
          <w:rFonts w:ascii="Calibri" w:hAnsi="Calibri" w:cs="Calibri"/>
          <w:color w:val="002151"/>
          <w:w w:val="110"/>
          <w:kern w:val="20"/>
          <w:szCs w:val="20"/>
        </w:rPr>
        <w:t xml:space="preserve"> </w:t>
      </w:r>
      <w:r w:rsidR="00760D36" w:rsidRPr="00760D36">
        <w:rPr>
          <w:rFonts w:ascii="Calibri" w:hAnsi="Calibri" w:cs="Calibri"/>
          <w:color w:val="002151"/>
          <w:w w:val="110"/>
          <w:kern w:val="20"/>
          <w:szCs w:val="20"/>
        </w:rPr>
        <w:t>In the context of a rights issue</w:t>
      </w:r>
      <w:r w:rsidR="00E950DE">
        <w:rPr>
          <w:rFonts w:ascii="Calibri" w:hAnsi="Calibri" w:cs="Calibri"/>
          <w:color w:val="002151"/>
          <w:w w:val="110"/>
          <w:kern w:val="20"/>
          <w:szCs w:val="20"/>
        </w:rPr>
        <w:t>,</w:t>
      </w:r>
      <w:r w:rsidR="00760D36" w:rsidRPr="00760D36">
        <w:rPr>
          <w:rFonts w:ascii="Calibri" w:hAnsi="Calibri" w:cs="Calibri"/>
          <w:color w:val="002151"/>
          <w:w w:val="110"/>
          <w:kern w:val="20"/>
          <w:szCs w:val="20"/>
        </w:rPr>
        <w:t xml:space="preserve"> the cost</w:t>
      </w:r>
      <w:r w:rsidR="007803D9">
        <w:rPr>
          <w:rFonts w:ascii="Calibri" w:hAnsi="Calibri" w:cs="Calibri"/>
          <w:color w:val="002151"/>
          <w:w w:val="110"/>
          <w:kern w:val="20"/>
          <w:szCs w:val="20"/>
        </w:rPr>
        <w:t xml:space="preserve"> </w:t>
      </w:r>
      <w:r w:rsidR="00760D36" w:rsidRPr="00760D36">
        <w:rPr>
          <w:rFonts w:ascii="Calibri" w:hAnsi="Calibri" w:cs="Calibri"/>
          <w:color w:val="002151"/>
          <w:w w:val="110"/>
          <w:kern w:val="20"/>
          <w:szCs w:val="20"/>
        </w:rPr>
        <w:t xml:space="preserve">and time burden of </w:t>
      </w:r>
      <w:r w:rsidR="007803D9">
        <w:rPr>
          <w:rFonts w:ascii="Calibri" w:hAnsi="Calibri" w:cs="Calibri"/>
          <w:color w:val="002151"/>
          <w:w w:val="110"/>
          <w:kern w:val="20"/>
          <w:szCs w:val="20"/>
        </w:rPr>
        <w:t xml:space="preserve">producing a full </w:t>
      </w:r>
      <w:r w:rsidR="00760D36" w:rsidRPr="00760D36">
        <w:rPr>
          <w:rFonts w:ascii="Calibri" w:hAnsi="Calibri" w:cs="Calibri"/>
          <w:color w:val="002151"/>
          <w:w w:val="110"/>
          <w:kern w:val="20"/>
          <w:szCs w:val="20"/>
        </w:rPr>
        <w:t>prospectus is disproportionate with the</w:t>
      </w:r>
      <w:r w:rsidR="007803D9">
        <w:rPr>
          <w:rFonts w:ascii="Calibri" w:hAnsi="Calibri" w:cs="Calibri"/>
          <w:color w:val="002151"/>
          <w:w w:val="110"/>
          <w:kern w:val="20"/>
          <w:szCs w:val="20"/>
        </w:rPr>
        <w:t xml:space="preserve"> </w:t>
      </w:r>
      <w:r w:rsidR="00760D36" w:rsidRPr="00760D36">
        <w:rPr>
          <w:rFonts w:ascii="Calibri" w:hAnsi="Calibri" w:cs="Calibri"/>
          <w:color w:val="002151"/>
          <w:w w:val="110"/>
          <w:kern w:val="20"/>
          <w:szCs w:val="20"/>
        </w:rPr>
        <w:t>marginal value of the disclosures within.</w:t>
      </w:r>
    </w:p>
    <w:p w14:paraId="539B923E" w14:textId="6B69C6EE" w:rsidR="0067022D" w:rsidRDefault="001E3F92" w:rsidP="0020190C">
      <w:pPr>
        <w:jc w:val="both"/>
        <w:rPr>
          <w:rFonts w:ascii="Calibri" w:hAnsi="Calibri" w:cs="Calibri"/>
          <w:color w:val="002151"/>
          <w:w w:val="110"/>
          <w:kern w:val="20"/>
          <w:szCs w:val="20"/>
        </w:rPr>
      </w:pPr>
      <w:r w:rsidRPr="00AB78D7">
        <w:rPr>
          <w:rFonts w:ascii="Calibri" w:hAnsi="Calibri" w:cs="Calibri"/>
          <w:color w:val="002151"/>
          <w:w w:val="110"/>
          <w:kern w:val="20"/>
          <w:szCs w:val="20"/>
        </w:rPr>
        <w:t>In lieu of a full prospectus, the disclosure requirements</w:t>
      </w:r>
      <w:r w:rsidR="00AB78D7">
        <w:rPr>
          <w:rFonts w:ascii="Calibri" w:hAnsi="Calibri" w:cs="Calibri"/>
          <w:color w:val="002151"/>
          <w:w w:val="110"/>
          <w:kern w:val="20"/>
          <w:szCs w:val="20"/>
        </w:rPr>
        <w:t xml:space="preserve"> placed</w:t>
      </w:r>
      <w:r w:rsidRPr="00AB78D7">
        <w:rPr>
          <w:rFonts w:ascii="Calibri" w:hAnsi="Calibri" w:cs="Calibri"/>
          <w:color w:val="002151"/>
          <w:w w:val="110"/>
          <w:kern w:val="20"/>
          <w:szCs w:val="20"/>
        </w:rPr>
        <w:t xml:space="preserve"> on issuers ahead of a rights issue </w:t>
      </w:r>
      <w:r w:rsidR="00AB78D7">
        <w:rPr>
          <w:rFonts w:ascii="Calibri" w:hAnsi="Calibri" w:cs="Calibri"/>
          <w:color w:val="002151"/>
          <w:w w:val="110"/>
          <w:kern w:val="20"/>
          <w:szCs w:val="20"/>
        </w:rPr>
        <w:t>should</w:t>
      </w:r>
      <w:r w:rsidRPr="00AB78D7">
        <w:rPr>
          <w:rFonts w:ascii="Calibri" w:hAnsi="Calibri" w:cs="Calibri"/>
          <w:color w:val="002151"/>
          <w:w w:val="110"/>
          <w:kern w:val="20"/>
          <w:szCs w:val="20"/>
        </w:rPr>
        <w:t xml:space="preserve"> be reflective of and meet the information needs of investors. </w:t>
      </w:r>
      <w:r w:rsidR="00AB78D7">
        <w:rPr>
          <w:rFonts w:ascii="Calibri" w:hAnsi="Calibri" w:cs="Calibri"/>
          <w:color w:val="002151"/>
          <w:w w:val="110"/>
          <w:kern w:val="20"/>
          <w:szCs w:val="20"/>
        </w:rPr>
        <w:t>As such issuers should be required to provide their shareholders with the information they most require</w:t>
      </w:r>
      <w:r w:rsidR="00741BED">
        <w:rPr>
          <w:rFonts w:ascii="Calibri" w:hAnsi="Calibri" w:cs="Calibri"/>
          <w:color w:val="002151"/>
          <w:w w:val="110"/>
          <w:kern w:val="20"/>
          <w:szCs w:val="20"/>
        </w:rPr>
        <w:t xml:space="preserve"> when deciding whether to participate in the rights issue and invest more capital</w:t>
      </w:r>
      <w:r w:rsidR="00AB78D7">
        <w:rPr>
          <w:rFonts w:ascii="Calibri" w:hAnsi="Calibri" w:cs="Calibri"/>
          <w:color w:val="002151"/>
          <w:w w:val="110"/>
          <w:kern w:val="20"/>
          <w:szCs w:val="20"/>
        </w:rPr>
        <w:t>.</w:t>
      </w:r>
      <w:r w:rsidR="009F1F9D">
        <w:rPr>
          <w:rFonts w:ascii="Calibri" w:hAnsi="Calibri" w:cs="Calibri"/>
          <w:color w:val="002151"/>
          <w:w w:val="110"/>
          <w:kern w:val="20"/>
          <w:szCs w:val="20"/>
        </w:rPr>
        <w:t xml:space="preserve"> Some form of disclosure will always be necessary in connection with a rights issue</w:t>
      </w:r>
      <w:r w:rsidR="00181E16">
        <w:rPr>
          <w:rFonts w:ascii="Calibri" w:hAnsi="Calibri" w:cs="Calibri"/>
          <w:color w:val="002151"/>
          <w:w w:val="110"/>
          <w:kern w:val="20"/>
          <w:szCs w:val="20"/>
        </w:rPr>
        <w:t>.</w:t>
      </w:r>
      <w:r w:rsidR="000E1077">
        <w:rPr>
          <w:rFonts w:ascii="Calibri" w:hAnsi="Calibri" w:cs="Calibri"/>
          <w:color w:val="002151"/>
          <w:w w:val="110"/>
          <w:kern w:val="20"/>
          <w:szCs w:val="20"/>
        </w:rPr>
        <w:t xml:space="preserve"> </w:t>
      </w:r>
      <w:r w:rsidR="00181E16">
        <w:rPr>
          <w:rFonts w:ascii="Calibri" w:hAnsi="Calibri" w:cs="Calibri"/>
          <w:color w:val="002151"/>
          <w:w w:val="110"/>
          <w:kern w:val="20"/>
          <w:szCs w:val="20"/>
        </w:rPr>
        <w:t>A</w:t>
      </w:r>
      <w:r w:rsidR="007E0F88">
        <w:rPr>
          <w:rFonts w:ascii="Calibri" w:hAnsi="Calibri" w:cs="Calibri"/>
          <w:color w:val="002151"/>
          <w:w w:val="110"/>
          <w:kern w:val="20"/>
          <w:szCs w:val="20"/>
        </w:rPr>
        <w:t xml:space="preserve"> </w:t>
      </w:r>
      <w:r w:rsidR="00095046" w:rsidRPr="00095046">
        <w:rPr>
          <w:rFonts w:ascii="Calibri" w:hAnsi="Calibri" w:cs="Calibri"/>
          <w:color w:val="002151"/>
          <w:w w:val="110"/>
          <w:kern w:val="20"/>
          <w:szCs w:val="20"/>
        </w:rPr>
        <w:t>use of proceeds statement informing shareholders how the company intend</w:t>
      </w:r>
      <w:r w:rsidR="00C83F39">
        <w:rPr>
          <w:rFonts w:ascii="Calibri" w:hAnsi="Calibri" w:cs="Calibri"/>
          <w:color w:val="002151"/>
          <w:w w:val="110"/>
          <w:kern w:val="20"/>
          <w:szCs w:val="20"/>
        </w:rPr>
        <w:t>s</w:t>
      </w:r>
      <w:r w:rsidR="00095046" w:rsidRPr="00095046">
        <w:rPr>
          <w:rFonts w:ascii="Calibri" w:hAnsi="Calibri" w:cs="Calibri"/>
          <w:color w:val="002151"/>
          <w:w w:val="110"/>
          <w:kern w:val="20"/>
          <w:szCs w:val="20"/>
        </w:rPr>
        <w:t xml:space="preserve"> on using the capital along with a timetable</w:t>
      </w:r>
      <w:r w:rsidR="000E1077">
        <w:rPr>
          <w:rFonts w:ascii="Calibri" w:hAnsi="Calibri" w:cs="Calibri"/>
          <w:color w:val="002151"/>
          <w:w w:val="110"/>
          <w:kern w:val="20"/>
          <w:szCs w:val="20"/>
        </w:rPr>
        <w:t xml:space="preserve"> should always be required.</w:t>
      </w:r>
    </w:p>
    <w:p w14:paraId="722715CE" w14:textId="23F5B977" w:rsidR="00927ABF" w:rsidRDefault="002C5750" w:rsidP="0020190C">
      <w:pPr>
        <w:jc w:val="both"/>
        <w:rPr>
          <w:rFonts w:ascii="Calibri" w:hAnsi="Calibri" w:cs="Calibri"/>
          <w:color w:val="002151"/>
          <w:w w:val="110"/>
          <w:kern w:val="20"/>
          <w:szCs w:val="20"/>
        </w:rPr>
      </w:pPr>
      <w:r>
        <w:rPr>
          <w:rFonts w:ascii="Calibri" w:hAnsi="Calibri" w:cs="Calibri"/>
          <w:color w:val="002151"/>
          <w:w w:val="110"/>
          <w:kern w:val="20"/>
          <w:szCs w:val="20"/>
        </w:rPr>
        <w:t>W</w:t>
      </w:r>
      <w:r w:rsidRPr="002C5750">
        <w:rPr>
          <w:rFonts w:ascii="Calibri" w:hAnsi="Calibri" w:cs="Calibri"/>
          <w:color w:val="002151"/>
          <w:w w:val="110"/>
          <w:kern w:val="20"/>
          <w:szCs w:val="20"/>
        </w:rPr>
        <w:t>orking capital statement</w:t>
      </w:r>
      <w:r w:rsidR="002F3A5B">
        <w:rPr>
          <w:rFonts w:ascii="Calibri" w:hAnsi="Calibri" w:cs="Calibri"/>
          <w:color w:val="002151"/>
          <w:w w:val="110"/>
          <w:kern w:val="20"/>
          <w:szCs w:val="20"/>
        </w:rPr>
        <w:t>s</w:t>
      </w:r>
      <w:r w:rsidRPr="002C5750">
        <w:rPr>
          <w:rFonts w:ascii="Calibri" w:hAnsi="Calibri" w:cs="Calibri"/>
          <w:color w:val="002151"/>
          <w:w w:val="110"/>
          <w:kern w:val="20"/>
          <w:szCs w:val="20"/>
        </w:rPr>
        <w:t xml:space="preserve"> give confidence </w:t>
      </w:r>
      <w:r w:rsidR="002F3A5B">
        <w:rPr>
          <w:rFonts w:ascii="Calibri" w:hAnsi="Calibri" w:cs="Calibri"/>
          <w:color w:val="002151"/>
          <w:w w:val="110"/>
          <w:kern w:val="20"/>
          <w:szCs w:val="20"/>
        </w:rPr>
        <w:t>to shareholders that a</w:t>
      </w:r>
      <w:r w:rsidRPr="002C5750">
        <w:rPr>
          <w:rFonts w:ascii="Calibri" w:hAnsi="Calibri" w:cs="Calibri"/>
          <w:color w:val="002151"/>
          <w:w w:val="110"/>
          <w:kern w:val="20"/>
          <w:szCs w:val="20"/>
        </w:rPr>
        <w:t xml:space="preserve"> company will have a sustainable approach to capital management under different scenarios and secures the </w:t>
      </w:r>
      <w:r w:rsidRPr="002C5750">
        <w:rPr>
          <w:rFonts w:ascii="Calibri" w:hAnsi="Calibri" w:cs="Calibri"/>
          <w:color w:val="002151"/>
          <w:w w:val="110"/>
          <w:kern w:val="20"/>
          <w:szCs w:val="20"/>
        </w:rPr>
        <w:lastRenderedPageBreak/>
        <w:t xml:space="preserve">longevity of the capital raise. </w:t>
      </w:r>
      <w:r w:rsidR="000F5E4E">
        <w:rPr>
          <w:rFonts w:ascii="Calibri" w:hAnsi="Calibri" w:cs="Calibri"/>
          <w:color w:val="002151"/>
          <w:w w:val="110"/>
          <w:kern w:val="20"/>
          <w:szCs w:val="20"/>
        </w:rPr>
        <w:t>Such statements are particularly useful where a rights issue is held in connection with a</w:t>
      </w:r>
      <w:r w:rsidR="00DD255C">
        <w:rPr>
          <w:rFonts w:ascii="Calibri" w:hAnsi="Calibri" w:cs="Calibri"/>
          <w:color w:val="002151"/>
          <w:w w:val="110"/>
          <w:kern w:val="20"/>
          <w:szCs w:val="20"/>
        </w:rPr>
        <w:t xml:space="preserve">n emergency capital raise </w:t>
      </w:r>
      <w:r w:rsidR="004275A8">
        <w:rPr>
          <w:rFonts w:ascii="Calibri" w:hAnsi="Calibri" w:cs="Calibri"/>
          <w:color w:val="002151"/>
          <w:w w:val="110"/>
          <w:kern w:val="20"/>
          <w:szCs w:val="20"/>
        </w:rPr>
        <w:t xml:space="preserve">where the issuer </w:t>
      </w:r>
      <w:r w:rsidR="006C47D2">
        <w:rPr>
          <w:rFonts w:ascii="Calibri" w:hAnsi="Calibri" w:cs="Calibri"/>
          <w:color w:val="002151"/>
          <w:w w:val="110"/>
          <w:kern w:val="20"/>
          <w:szCs w:val="20"/>
        </w:rPr>
        <w:t>either does not have</w:t>
      </w:r>
      <w:r w:rsidR="009E447B">
        <w:rPr>
          <w:rFonts w:ascii="Calibri" w:hAnsi="Calibri" w:cs="Calibri"/>
          <w:color w:val="002151"/>
          <w:w w:val="110"/>
          <w:kern w:val="20"/>
          <w:szCs w:val="20"/>
        </w:rPr>
        <w:t>,</w:t>
      </w:r>
      <w:r w:rsidR="006C47D2">
        <w:rPr>
          <w:rFonts w:ascii="Calibri" w:hAnsi="Calibri" w:cs="Calibri"/>
          <w:color w:val="002151"/>
          <w:w w:val="110"/>
          <w:kern w:val="20"/>
          <w:szCs w:val="20"/>
        </w:rPr>
        <w:t xml:space="preserve"> or is struggling to maintain enough working capital</w:t>
      </w:r>
      <w:r w:rsidR="00B14036">
        <w:rPr>
          <w:rFonts w:ascii="Calibri" w:hAnsi="Calibri" w:cs="Calibri"/>
          <w:color w:val="002151"/>
          <w:w w:val="110"/>
          <w:kern w:val="20"/>
          <w:szCs w:val="20"/>
        </w:rPr>
        <w:t xml:space="preserve">, and so </w:t>
      </w:r>
      <w:r w:rsidR="00517B02">
        <w:rPr>
          <w:rFonts w:ascii="Calibri" w:hAnsi="Calibri" w:cs="Calibri"/>
          <w:color w:val="002151"/>
          <w:w w:val="110"/>
          <w:kern w:val="20"/>
          <w:szCs w:val="20"/>
        </w:rPr>
        <w:t xml:space="preserve">the statement includes </w:t>
      </w:r>
      <w:r w:rsidR="00E47BD3">
        <w:rPr>
          <w:rFonts w:ascii="Calibri" w:hAnsi="Calibri" w:cs="Calibri"/>
          <w:color w:val="002151"/>
          <w:w w:val="110"/>
          <w:kern w:val="20"/>
          <w:szCs w:val="20"/>
        </w:rPr>
        <w:t>how the rights issue will be used to remedy the issue</w:t>
      </w:r>
      <w:r w:rsidR="001F32A7">
        <w:rPr>
          <w:rFonts w:ascii="Calibri" w:hAnsi="Calibri" w:cs="Calibri"/>
          <w:color w:val="002151"/>
          <w:w w:val="110"/>
          <w:kern w:val="20"/>
          <w:szCs w:val="20"/>
        </w:rPr>
        <w:t xml:space="preserve">. </w:t>
      </w:r>
      <w:r w:rsidR="005B4CD6">
        <w:rPr>
          <w:rFonts w:ascii="Calibri" w:hAnsi="Calibri" w:cs="Calibri"/>
          <w:color w:val="002151"/>
          <w:w w:val="110"/>
          <w:kern w:val="20"/>
          <w:szCs w:val="20"/>
        </w:rPr>
        <w:t xml:space="preserve">They are also valuable </w:t>
      </w:r>
      <w:r w:rsidR="00A77ABD">
        <w:rPr>
          <w:rFonts w:ascii="Calibri" w:hAnsi="Calibri" w:cs="Calibri"/>
          <w:color w:val="002151"/>
          <w:w w:val="110"/>
          <w:kern w:val="20"/>
          <w:szCs w:val="20"/>
        </w:rPr>
        <w:t xml:space="preserve">as part of the required disclosures in a Class 1 circular when the company </w:t>
      </w:r>
      <w:r w:rsidR="005B74DE">
        <w:rPr>
          <w:rFonts w:ascii="Calibri" w:hAnsi="Calibri" w:cs="Calibri"/>
          <w:color w:val="002151"/>
          <w:w w:val="110"/>
          <w:kern w:val="20"/>
          <w:szCs w:val="20"/>
        </w:rPr>
        <w:t>is seeking to complete a major transaction.</w:t>
      </w:r>
    </w:p>
    <w:p w14:paraId="413B6D83" w14:textId="1D3A58A5" w:rsidR="009F1F9D" w:rsidRDefault="007E00A6" w:rsidP="00D817EC">
      <w:pPr>
        <w:jc w:val="both"/>
        <w:rPr>
          <w:rFonts w:ascii="Calibri" w:hAnsi="Calibri" w:cs="Calibri"/>
          <w:color w:val="002151"/>
          <w:w w:val="110"/>
          <w:kern w:val="20"/>
          <w:szCs w:val="20"/>
        </w:rPr>
      </w:pPr>
      <w:r>
        <w:rPr>
          <w:rFonts w:ascii="Calibri" w:hAnsi="Calibri" w:cs="Calibri"/>
          <w:color w:val="002151"/>
          <w:w w:val="110"/>
          <w:kern w:val="20"/>
          <w:szCs w:val="20"/>
        </w:rPr>
        <w:t xml:space="preserve">Working capital statements, will provide </w:t>
      </w:r>
      <w:proofErr w:type="gramStart"/>
      <w:r>
        <w:rPr>
          <w:rFonts w:ascii="Calibri" w:hAnsi="Calibri" w:cs="Calibri"/>
          <w:color w:val="002151"/>
          <w:w w:val="110"/>
          <w:kern w:val="20"/>
          <w:szCs w:val="20"/>
        </w:rPr>
        <w:t>less</w:t>
      </w:r>
      <w:proofErr w:type="gramEnd"/>
      <w:r>
        <w:rPr>
          <w:rFonts w:ascii="Calibri" w:hAnsi="Calibri" w:cs="Calibri"/>
          <w:color w:val="002151"/>
          <w:w w:val="110"/>
          <w:kern w:val="20"/>
          <w:szCs w:val="20"/>
        </w:rPr>
        <w:t xml:space="preserve"> </w:t>
      </w:r>
      <w:r w:rsidR="00C0652F">
        <w:rPr>
          <w:rFonts w:ascii="Calibri" w:hAnsi="Calibri" w:cs="Calibri"/>
          <w:color w:val="002151"/>
          <w:w w:val="110"/>
          <w:kern w:val="20"/>
          <w:szCs w:val="20"/>
        </w:rPr>
        <w:t xml:space="preserve">valuable insights to investors considering a rights issue </w:t>
      </w:r>
      <w:r w:rsidR="00556156">
        <w:rPr>
          <w:rFonts w:ascii="Calibri" w:hAnsi="Calibri" w:cs="Calibri"/>
          <w:color w:val="002151"/>
          <w:w w:val="110"/>
          <w:kern w:val="20"/>
          <w:szCs w:val="20"/>
        </w:rPr>
        <w:t>which is not in connection with a</w:t>
      </w:r>
      <w:r w:rsidR="00BA071C">
        <w:rPr>
          <w:rFonts w:ascii="Calibri" w:hAnsi="Calibri" w:cs="Calibri"/>
          <w:color w:val="002151"/>
          <w:w w:val="110"/>
          <w:kern w:val="20"/>
          <w:szCs w:val="20"/>
        </w:rPr>
        <w:t xml:space="preserve">n emergency capital raise or </w:t>
      </w:r>
      <w:r w:rsidR="00EF19FB">
        <w:rPr>
          <w:rFonts w:ascii="Calibri" w:hAnsi="Calibri" w:cs="Calibri"/>
          <w:color w:val="002151"/>
          <w:w w:val="110"/>
          <w:kern w:val="20"/>
          <w:szCs w:val="20"/>
        </w:rPr>
        <w:t xml:space="preserve">a Class 1 transaction. </w:t>
      </w:r>
      <w:r w:rsidR="00D817EC">
        <w:rPr>
          <w:rFonts w:ascii="Calibri" w:hAnsi="Calibri" w:cs="Calibri"/>
          <w:color w:val="002151"/>
          <w:w w:val="110"/>
          <w:kern w:val="20"/>
          <w:szCs w:val="20"/>
        </w:rPr>
        <w:t xml:space="preserve">In these circumstances the statements, </w:t>
      </w:r>
      <w:r w:rsidR="00236326" w:rsidRPr="00236326">
        <w:rPr>
          <w:rFonts w:ascii="Calibri" w:hAnsi="Calibri" w:cs="Calibri"/>
          <w:color w:val="002151"/>
          <w:w w:val="110"/>
          <w:kern w:val="20"/>
          <w:szCs w:val="20"/>
        </w:rPr>
        <w:t>which are costly and lengthy to produce</w:t>
      </w:r>
      <w:r w:rsidR="00915EE5">
        <w:rPr>
          <w:rFonts w:ascii="Calibri" w:hAnsi="Calibri" w:cs="Calibri"/>
          <w:color w:val="002151"/>
          <w:w w:val="110"/>
          <w:kern w:val="20"/>
          <w:szCs w:val="20"/>
        </w:rPr>
        <w:t xml:space="preserve">, will be disproportionately burdensome for issuers. </w:t>
      </w:r>
    </w:p>
    <w:p w14:paraId="073A82CF" w14:textId="77777777" w:rsidR="009D2BDB" w:rsidRDefault="009D2BDB" w:rsidP="0020190C">
      <w:pPr>
        <w:pStyle w:val="ListParagraph"/>
        <w:numPr>
          <w:ilvl w:val="0"/>
          <w:numId w:val="15"/>
        </w:numPr>
        <w:rPr>
          <w:rFonts w:cs="Calibri"/>
          <w:bCs/>
        </w:rPr>
      </w:pPr>
      <w:r>
        <w:rPr>
          <w:rFonts w:cs="Calibri"/>
          <w:bCs/>
        </w:rPr>
        <w:t>Shareholder Approval for the disapplication of pre-emption rights</w:t>
      </w:r>
      <w:r>
        <w:rPr>
          <w:rFonts w:cs="Calibri"/>
          <w:bCs/>
        </w:rPr>
        <w:br/>
      </w:r>
    </w:p>
    <w:p w14:paraId="5F6B90D4" w14:textId="0390D189" w:rsidR="00D10558" w:rsidRDefault="009D2BDB" w:rsidP="000A36B5">
      <w:pPr>
        <w:jc w:val="both"/>
        <w:rPr>
          <w:rFonts w:ascii="Calibri" w:hAnsi="Calibri" w:cs="Calibri"/>
          <w:color w:val="002151"/>
          <w:w w:val="110"/>
          <w:kern w:val="20"/>
          <w:szCs w:val="20"/>
        </w:rPr>
      </w:pPr>
      <w:r w:rsidRPr="009D2BDB">
        <w:rPr>
          <w:rFonts w:ascii="Calibri" w:hAnsi="Calibri" w:cs="Calibri"/>
          <w:color w:val="002151"/>
          <w:w w:val="110"/>
          <w:kern w:val="20"/>
          <w:szCs w:val="20"/>
        </w:rPr>
        <w:t xml:space="preserve">The </w:t>
      </w:r>
      <w:r w:rsidRPr="009D2BDB">
        <w:rPr>
          <w:rFonts w:ascii="Calibri" w:hAnsi="Calibri" w:cs="Calibri"/>
          <w:bCs/>
          <w:color w:val="002151"/>
          <w:w w:val="110"/>
          <w:kern w:val="20"/>
          <w:szCs w:val="20"/>
        </w:rPr>
        <w:t>second contributing factor to the</w:t>
      </w:r>
      <w:r w:rsidR="00915EE5">
        <w:rPr>
          <w:rFonts w:ascii="Calibri" w:hAnsi="Calibri" w:cs="Calibri"/>
          <w:bCs/>
          <w:color w:val="002151"/>
          <w:w w:val="110"/>
          <w:kern w:val="20"/>
          <w:szCs w:val="20"/>
        </w:rPr>
        <w:t xml:space="preserve"> overall duration and costs of the</w:t>
      </w:r>
      <w:r>
        <w:rPr>
          <w:rFonts w:ascii="Calibri" w:hAnsi="Calibri" w:cs="Calibri"/>
          <w:bCs/>
          <w:color w:val="002151"/>
          <w:w w:val="110"/>
          <w:kern w:val="20"/>
          <w:szCs w:val="20"/>
        </w:rPr>
        <w:t xml:space="preserve"> process is the requirement that shareholder approval be gained for</w:t>
      </w:r>
      <w:r w:rsidR="00C648AC">
        <w:rPr>
          <w:rFonts w:ascii="Calibri" w:hAnsi="Calibri" w:cs="Calibri"/>
          <w:bCs/>
          <w:color w:val="002151"/>
          <w:w w:val="110"/>
          <w:kern w:val="20"/>
          <w:szCs w:val="20"/>
        </w:rPr>
        <w:t xml:space="preserve"> </w:t>
      </w:r>
      <w:r w:rsidR="0036561B">
        <w:rPr>
          <w:rFonts w:ascii="Calibri" w:hAnsi="Calibri" w:cs="Calibri"/>
          <w:bCs/>
          <w:color w:val="002151"/>
          <w:w w:val="110"/>
          <w:kern w:val="20"/>
          <w:szCs w:val="20"/>
        </w:rPr>
        <w:t>an authority to allot shares.</w:t>
      </w:r>
    </w:p>
    <w:p w14:paraId="388A181E" w14:textId="233ACE69" w:rsidR="001A5D13" w:rsidRDefault="008A21DC" w:rsidP="000A36B5">
      <w:pPr>
        <w:jc w:val="both"/>
        <w:rPr>
          <w:rFonts w:ascii="Calibri" w:hAnsi="Calibri" w:cs="Calibri"/>
          <w:color w:val="002151"/>
          <w:w w:val="110"/>
          <w:kern w:val="20"/>
          <w:szCs w:val="20"/>
        </w:rPr>
      </w:pPr>
      <w:r>
        <w:rPr>
          <w:rFonts w:ascii="Calibri" w:hAnsi="Calibri" w:cs="Calibri"/>
          <w:color w:val="002151"/>
          <w:w w:val="110"/>
          <w:kern w:val="20"/>
          <w:szCs w:val="20"/>
        </w:rPr>
        <w:t>Following the recommendations of the Rights Issue Review Group</w:t>
      </w:r>
      <w:r w:rsidR="00946A9B">
        <w:rPr>
          <w:rFonts w:ascii="Calibri" w:hAnsi="Calibri" w:cs="Calibri"/>
          <w:color w:val="002151"/>
          <w:w w:val="110"/>
          <w:kern w:val="20"/>
          <w:szCs w:val="20"/>
        </w:rPr>
        <w:t xml:space="preserve">, the </w:t>
      </w:r>
      <w:r w:rsidR="005F0A38">
        <w:rPr>
          <w:rFonts w:ascii="Calibri" w:hAnsi="Calibri" w:cs="Calibri"/>
          <w:color w:val="002151"/>
          <w:w w:val="110"/>
          <w:kern w:val="20"/>
          <w:szCs w:val="20"/>
        </w:rPr>
        <w:t xml:space="preserve">ABI </w:t>
      </w:r>
      <w:r w:rsidR="0071033B">
        <w:rPr>
          <w:rFonts w:ascii="Calibri" w:hAnsi="Calibri" w:cs="Calibri"/>
          <w:color w:val="002151"/>
          <w:w w:val="110"/>
          <w:kern w:val="20"/>
          <w:szCs w:val="20"/>
        </w:rPr>
        <w:t>guidelines on power to allot shares</w:t>
      </w:r>
      <w:r w:rsidR="005F0A38">
        <w:rPr>
          <w:rFonts w:ascii="Calibri" w:hAnsi="Calibri" w:cs="Calibri"/>
          <w:color w:val="002151"/>
          <w:w w:val="110"/>
          <w:kern w:val="20"/>
          <w:szCs w:val="20"/>
        </w:rPr>
        <w:t xml:space="preserve"> (now the </w:t>
      </w:r>
      <w:r w:rsidR="0071033B">
        <w:rPr>
          <w:rFonts w:ascii="Calibri" w:hAnsi="Calibri" w:cs="Calibri"/>
          <w:color w:val="002151"/>
          <w:w w:val="110"/>
          <w:kern w:val="20"/>
          <w:szCs w:val="20"/>
        </w:rPr>
        <w:t xml:space="preserve">responsibility of the </w:t>
      </w:r>
      <w:r w:rsidR="005F0A38">
        <w:rPr>
          <w:rFonts w:ascii="Calibri" w:hAnsi="Calibri" w:cs="Calibri"/>
          <w:color w:val="002151"/>
          <w:w w:val="110"/>
          <w:kern w:val="20"/>
          <w:szCs w:val="20"/>
        </w:rPr>
        <w:t>IA)</w:t>
      </w:r>
      <w:r w:rsidR="00AD15DC">
        <w:rPr>
          <w:rFonts w:ascii="Calibri" w:hAnsi="Calibri" w:cs="Calibri"/>
          <w:color w:val="002151"/>
          <w:w w:val="110"/>
          <w:kern w:val="20"/>
          <w:szCs w:val="20"/>
        </w:rPr>
        <w:t xml:space="preserve">, </w:t>
      </w:r>
      <w:r w:rsidR="0071033B">
        <w:rPr>
          <w:rFonts w:ascii="Calibri" w:hAnsi="Calibri" w:cs="Calibri"/>
          <w:color w:val="002151"/>
          <w:w w:val="110"/>
          <w:kern w:val="20"/>
          <w:szCs w:val="20"/>
        </w:rPr>
        <w:t>were</w:t>
      </w:r>
      <w:r w:rsidR="00AD15DC">
        <w:rPr>
          <w:rFonts w:ascii="Calibri" w:hAnsi="Calibri" w:cs="Calibri"/>
          <w:color w:val="002151"/>
          <w:w w:val="110"/>
          <w:kern w:val="20"/>
          <w:szCs w:val="20"/>
        </w:rPr>
        <w:t xml:space="preserve"> </w:t>
      </w:r>
      <w:r w:rsidR="003A6CFE">
        <w:rPr>
          <w:rFonts w:ascii="Calibri" w:hAnsi="Calibri" w:cs="Calibri"/>
          <w:color w:val="002151"/>
          <w:w w:val="110"/>
          <w:kern w:val="20"/>
          <w:szCs w:val="20"/>
        </w:rPr>
        <w:t xml:space="preserve">amended </w:t>
      </w:r>
      <w:r w:rsidR="00AD15DC">
        <w:rPr>
          <w:rFonts w:ascii="Calibri" w:hAnsi="Calibri" w:cs="Calibri"/>
          <w:color w:val="002151"/>
          <w:w w:val="110"/>
          <w:kern w:val="20"/>
          <w:szCs w:val="20"/>
        </w:rPr>
        <w:t>in 2009</w:t>
      </w:r>
      <w:r w:rsidR="003A6CFE">
        <w:rPr>
          <w:rFonts w:ascii="Calibri" w:hAnsi="Calibri" w:cs="Calibri"/>
          <w:color w:val="002151"/>
          <w:w w:val="110"/>
          <w:kern w:val="20"/>
          <w:szCs w:val="20"/>
        </w:rPr>
        <w:t xml:space="preserve"> </w:t>
      </w:r>
      <w:r w:rsidR="00885308">
        <w:rPr>
          <w:rFonts w:ascii="Calibri" w:hAnsi="Calibri" w:cs="Calibri"/>
          <w:color w:val="002151"/>
          <w:w w:val="110"/>
          <w:kern w:val="20"/>
          <w:szCs w:val="20"/>
        </w:rPr>
        <w:t>such that</w:t>
      </w:r>
      <w:r w:rsidR="000A36B5">
        <w:rPr>
          <w:rFonts w:ascii="Calibri" w:hAnsi="Calibri" w:cs="Calibri"/>
          <w:color w:val="002151"/>
          <w:w w:val="110"/>
          <w:kern w:val="20"/>
          <w:szCs w:val="20"/>
        </w:rPr>
        <w:t xml:space="preserve"> an authority to allot </w:t>
      </w:r>
      <w:r w:rsidR="001A5D13" w:rsidRPr="001A5D13">
        <w:rPr>
          <w:rFonts w:ascii="Calibri" w:hAnsi="Calibri" w:cs="Calibri"/>
          <w:color w:val="002151"/>
          <w:w w:val="110"/>
          <w:kern w:val="20"/>
          <w:szCs w:val="20"/>
        </w:rPr>
        <w:t>up to two-thirds of the existing</w:t>
      </w:r>
      <w:r w:rsidR="001A5D13">
        <w:rPr>
          <w:rFonts w:ascii="Calibri" w:hAnsi="Calibri" w:cs="Calibri"/>
          <w:color w:val="002151"/>
          <w:w w:val="110"/>
          <w:kern w:val="20"/>
          <w:szCs w:val="20"/>
        </w:rPr>
        <w:t xml:space="preserve"> </w:t>
      </w:r>
      <w:r w:rsidR="001A5D13" w:rsidRPr="001A5D13">
        <w:rPr>
          <w:rFonts w:ascii="Calibri" w:hAnsi="Calibri" w:cs="Calibri"/>
          <w:color w:val="002151"/>
          <w:w w:val="110"/>
          <w:kern w:val="20"/>
          <w:szCs w:val="20"/>
        </w:rPr>
        <w:t>issued share capital</w:t>
      </w:r>
      <w:r w:rsidR="000A36B5">
        <w:rPr>
          <w:rFonts w:ascii="Calibri" w:hAnsi="Calibri" w:cs="Calibri"/>
          <w:color w:val="002151"/>
          <w:w w:val="110"/>
          <w:kern w:val="20"/>
          <w:szCs w:val="20"/>
        </w:rPr>
        <w:t xml:space="preserve"> was considered </w:t>
      </w:r>
      <w:r w:rsidR="002C783D">
        <w:rPr>
          <w:rFonts w:ascii="Calibri" w:hAnsi="Calibri" w:cs="Calibri"/>
          <w:color w:val="002151"/>
          <w:w w:val="110"/>
          <w:kern w:val="20"/>
          <w:szCs w:val="20"/>
        </w:rPr>
        <w:t>‘routine’, provided the second 1/3 was raised through a fully pre-emptive rights issue.</w:t>
      </w:r>
      <w:r w:rsidR="00C37A73">
        <w:rPr>
          <w:rFonts w:ascii="Calibri" w:hAnsi="Calibri" w:cs="Calibri"/>
          <w:color w:val="002151"/>
          <w:w w:val="110"/>
          <w:kern w:val="20"/>
          <w:szCs w:val="20"/>
        </w:rPr>
        <w:t xml:space="preserve"> This amend</w:t>
      </w:r>
      <w:r w:rsidR="009362F9">
        <w:rPr>
          <w:rFonts w:ascii="Calibri" w:hAnsi="Calibri" w:cs="Calibri"/>
          <w:color w:val="002151"/>
          <w:w w:val="110"/>
          <w:kern w:val="20"/>
          <w:szCs w:val="20"/>
        </w:rPr>
        <w:t xml:space="preserve">ment resulted in a </w:t>
      </w:r>
      <w:r w:rsidR="00654C56">
        <w:rPr>
          <w:rFonts w:ascii="Calibri" w:hAnsi="Calibri" w:cs="Calibri"/>
          <w:color w:val="002151"/>
          <w:w w:val="110"/>
          <w:kern w:val="20"/>
          <w:szCs w:val="20"/>
        </w:rPr>
        <w:t xml:space="preserve">change in market practice with a majority of </w:t>
      </w:r>
      <w:r w:rsidR="000E6143">
        <w:rPr>
          <w:rFonts w:ascii="Calibri" w:hAnsi="Calibri" w:cs="Calibri"/>
          <w:color w:val="002151"/>
          <w:w w:val="110"/>
          <w:kern w:val="20"/>
          <w:szCs w:val="20"/>
        </w:rPr>
        <w:t xml:space="preserve">FTSE All-share </w:t>
      </w:r>
      <w:r w:rsidR="00654C56">
        <w:rPr>
          <w:rFonts w:ascii="Calibri" w:hAnsi="Calibri" w:cs="Calibri"/>
          <w:color w:val="002151"/>
          <w:w w:val="110"/>
          <w:kern w:val="20"/>
          <w:szCs w:val="20"/>
        </w:rPr>
        <w:t xml:space="preserve">companies regularly submitting a resolution at </w:t>
      </w:r>
      <w:r w:rsidR="00B71591">
        <w:rPr>
          <w:rFonts w:ascii="Calibri" w:hAnsi="Calibri" w:cs="Calibri"/>
          <w:color w:val="002151"/>
          <w:w w:val="110"/>
          <w:kern w:val="20"/>
          <w:szCs w:val="20"/>
        </w:rPr>
        <w:t>their</w:t>
      </w:r>
      <w:r w:rsidR="00654C56">
        <w:rPr>
          <w:rFonts w:ascii="Calibri" w:hAnsi="Calibri" w:cs="Calibri"/>
          <w:color w:val="002151"/>
          <w:w w:val="110"/>
          <w:kern w:val="20"/>
          <w:szCs w:val="20"/>
        </w:rPr>
        <w:t xml:space="preserve"> AGM for an authority to allot shares up to 2/3</w:t>
      </w:r>
      <w:r w:rsidR="001824A8">
        <w:rPr>
          <w:rFonts w:ascii="Calibri" w:hAnsi="Calibri" w:cs="Calibri"/>
          <w:color w:val="002151"/>
          <w:w w:val="110"/>
          <w:kern w:val="20"/>
          <w:szCs w:val="20"/>
        </w:rPr>
        <w:t xml:space="preserve"> of issued share capital</w:t>
      </w:r>
      <w:r w:rsidR="006126CE">
        <w:rPr>
          <w:rFonts w:ascii="Calibri" w:hAnsi="Calibri" w:cs="Calibri"/>
          <w:color w:val="002151"/>
          <w:w w:val="110"/>
          <w:kern w:val="20"/>
          <w:szCs w:val="20"/>
        </w:rPr>
        <w:t xml:space="preserve">. </w:t>
      </w:r>
      <w:r w:rsidR="002D0CC4">
        <w:rPr>
          <w:rFonts w:ascii="Calibri" w:hAnsi="Calibri" w:cs="Calibri"/>
          <w:color w:val="002151"/>
          <w:w w:val="110"/>
          <w:kern w:val="20"/>
          <w:szCs w:val="20"/>
        </w:rPr>
        <w:t xml:space="preserve">Since the </w:t>
      </w:r>
      <w:r w:rsidR="000E6143">
        <w:rPr>
          <w:rFonts w:ascii="Calibri" w:hAnsi="Calibri" w:cs="Calibri"/>
          <w:color w:val="002151"/>
          <w:w w:val="110"/>
          <w:kern w:val="20"/>
          <w:szCs w:val="20"/>
        </w:rPr>
        <w:t>establishment of the Public Registe</w:t>
      </w:r>
      <w:r w:rsidR="009E447B">
        <w:rPr>
          <w:rFonts w:ascii="Calibri" w:hAnsi="Calibri" w:cs="Calibri"/>
          <w:color w:val="002151"/>
          <w:w w:val="110"/>
          <w:kern w:val="20"/>
          <w:szCs w:val="20"/>
        </w:rPr>
        <w:t>r</w:t>
      </w:r>
      <w:r w:rsidR="00B71591">
        <w:rPr>
          <w:rFonts w:ascii="Calibri" w:hAnsi="Calibri" w:cs="Calibri"/>
          <w:color w:val="002151"/>
          <w:w w:val="110"/>
          <w:kern w:val="20"/>
          <w:szCs w:val="20"/>
        </w:rPr>
        <w:t xml:space="preserve"> which tracks shareholder dissent of </w:t>
      </w:r>
      <w:r w:rsidR="00C47ADE">
        <w:rPr>
          <w:rFonts w:ascii="Calibri" w:hAnsi="Calibri" w:cs="Calibri"/>
          <w:color w:val="002151"/>
          <w:w w:val="110"/>
          <w:kern w:val="20"/>
          <w:szCs w:val="20"/>
        </w:rPr>
        <w:t xml:space="preserve">20% or more </w:t>
      </w:r>
      <w:r w:rsidR="00B71591">
        <w:rPr>
          <w:rFonts w:ascii="Calibri" w:hAnsi="Calibri" w:cs="Calibri"/>
          <w:color w:val="002151"/>
          <w:w w:val="110"/>
          <w:kern w:val="20"/>
          <w:szCs w:val="20"/>
        </w:rPr>
        <w:t>on a</w:t>
      </w:r>
      <w:r w:rsidR="00C47ADE">
        <w:rPr>
          <w:rFonts w:ascii="Calibri" w:hAnsi="Calibri" w:cs="Calibri"/>
          <w:color w:val="002151"/>
          <w:w w:val="110"/>
          <w:kern w:val="20"/>
          <w:szCs w:val="20"/>
        </w:rPr>
        <w:t>ny resolution held at a FTSE All Share AGM</w:t>
      </w:r>
      <w:r w:rsidR="000E6143">
        <w:rPr>
          <w:rFonts w:ascii="Calibri" w:hAnsi="Calibri" w:cs="Calibri"/>
          <w:color w:val="002151"/>
          <w:w w:val="110"/>
          <w:kern w:val="20"/>
          <w:szCs w:val="20"/>
        </w:rPr>
        <w:t xml:space="preserve"> </w:t>
      </w:r>
      <w:r w:rsidR="008415EC">
        <w:rPr>
          <w:rFonts w:ascii="Calibri" w:hAnsi="Calibri" w:cs="Calibri"/>
          <w:color w:val="002151"/>
          <w:w w:val="110"/>
          <w:kern w:val="20"/>
          <w:szCs w:val="20"/>
        </w:rPr>
        <w:t>in</w:t>
      </w:r>
      <w:r w:rsidR="001B5D58">
        <w:rPr>
          <w:rFonts w:ascii="Calibri" w:hAnsi="Calibri" w:cs="Calibri"/>
          <w:color w:val="002151"/>
          <w:w w:val="110"/>
          <w:kern w:val="20"/>
          <w:szCs w:val="20"/>
        </w:rPr>
        <w:t xml:space="preserve"> </w:t>
      </w:r>
      <w:r w:rsidR="000E6143">
        <w:rPr>
          <w:rFonts w:ascii="Calibri" w:hAnsi="Calibri" w:cs="Calibri"/>
          <w:color w:val="002151"/>
          <w:w w:val="110"/>
          <w:kern w:val="20"/>
          <w:szCs w:val="20"/>
        </w:rPr>
        <w:t>201</w:t>
      </w:r>
      <w:r w:rsidR="00606C00">
        <w:rPr>
          <w:rFonts w:ascii="Calibri" w:hAnsi="Calibri" w:cs="Calibri"/>
          <w:color w:val="002151"/>
          <w:w w:val="110"/>
          <w:kern w:val="20"/>
          <w:szCs w:val="20"/>
        </w:rPr>
        <w:t>8</w:t>
      </w:r>
      <w:r w:rsidR="009E447B">
        <w:rPr>
          <w:rFonts w:ascii="Calibri" w:hAnsi="Calibri" w:cs="Calibri"/>
          <w:color w:val="002151"/>
          <w:w w:val="110"/>
          <w:kern w:val="20"/>
          <w:szCs w:val="20"/>
        </w:rPr>
        <w:t>,</w:t>
      </w:r>
      <w:r w:rsidR="00606C00">
        <w:rPr>
          <w:rFonts w:ascii="Calibri" w:hAnsi="Calibri" w:cs="Calibri"/>
          <w:color w:val="002151"/>
          <w:w w:val="110"/>
          <w:kern w:val="20"/>
          <w:szCs w:val="20"/>
        </w:rPr>
        <w:t xml:space="preserve"> ther</w:t>
      </w:r>
      <w:r w:rsidR="008D30F2">
        <w:rPr>
          <w:rFonts w:ascii="Calibri" w:hAnsi="Calibri" w:cs="Calibri"/>
          <w:color w:val="002151"/>
          <w:w w:val="110"/>
          <w:kern w:val="20"/>
          <w:szCs w:val="20"/>
        </w:rPr>
        <w:t>e</w:t>
      </w:r>
      <w:r w:rsidR="00606C00">
        <w:rPr>
          <w:rFonts w:ascii="Calibri" w:hAnsi="Calibri" w:cs="Calibri"/>
          <w:color w:val="002151"/>
          <w:w w:val="110"/>
          <w:kern w:val="20"/>
          <w:szCs w:val="20"/>
        </w:rPr>
        <w:t xml:space="preserve"> have only been </w:t>
      </w:r>
      <w:r w:rsidR="0079179A">
        <w:rPr>
          <w:rFonts w:ascii="Calibri" w:hAnsi="Calibri" w:cs="Calibri"/>
          <w:color w:val="002151"/>
          <w:w w:val="110"/>
          <w:kern w:val="20"/>
          <w:szCs w:val="20"/>
        </w:rPr>
        <w:t xml:space="preserve">5 instances of significant shareholder dissent (greater than 20%) </w:t>
      </w:r>
      <w:r w:rsidR="00636FED">
        <w:rPr>
          <w:rFonts w:ascii="Calibri" w:hAnsi="Calibri" w:cs="Calibri"/>
          <w:color w:val="002151"/>
          <w:w w:val="110"/>
          <w:kern w:val="20"/>
          <w:szCs w:val="20"/>
        </w:rPr>
        <w:t>against a resolution to app</w:t>
      </w:r>
      <w:r w:rsidR="006615FD">
        <w:rPr>
          <w:rFonts w:ascii="Calibri" w:hAnsi="Calibri" w:cs="Calibri"/>
          <w:color w:val="002151"/>
          <w:w w:val="110"/>
          <w:kern w:val="20"/>
          <w:szCs w:val="20"/>
        </w:rPr>
        <w:t>rove an authority to allot a further 1/3 o</w:t>
      </w:r>
      <w:r w:rsidR="00063F68">
        <w:rPr>
          <w:rFonts w:ascii="Calibri" w:hAnsi="Calibri" w:cs="Calibri"/>
          <w:color w:val="002151"/>
          <w:w w:val="110"/>
          <w:kern w:val="20"/>
          <w:szCs w:val="20"/>
        </w:rPr>
        <w:t>f the issued share capital</w:t>
      </w:r>
      <w:r w:rsidR="003353EC">
        <w:rPr>
          <w:rFonts w:ascii="Calibri" w:hAnsi="Calibri" w:cs="Calibri"/>
          <w:color w:val="002151"/>
          <w:w w:val="110"/>
          <w:kern w:val="20"/>
          <w:szCs w:val="20"/>
        </w:rPr>
        <w:t xml:space="preserve">. </w:t>
      </w:r>
    </w:p>
    <w:p w14:paraId="44B112F9" w14:textId="220D5668" w:rsidR="007D27AA" w:rsidRDefault="00E072B1" w:rsidP="00957A46">
      <w:pPr>
        <w:jc w:val="both"/>
        <w:rPr>
          <w:rFonts w:ascii="Calibri" w:hAnsi="Calibri" w:cs="Calibri"/>
          <w:color w:val="002151"/>
          <w:w w:val="110"/>
          <w:kern w:val="20"/>
          <w:szCs w:val="20"/>
        </w:rPr>
      </w:pPr>
      <w:r>
        <w:rPr>
          <w:rFonts w:ascii="Calibri" w:hAnsi="Calibri" w:cs="Calibri"/>
          <w:color w:val="002151"/>
          <w:w w:val="110"/>
          <w:kern w:val="20"/>
          <w:szCs w:val="20"/>
        </w:rPr>
        <w:t>The IA and our members believe that this approach has wo</w:t>
      </w:r>
      <w:r w:rsidR="001206E1">
        <w:rPr>
          <w:rFonts w:ascii="Calibri" w:hAnsi="Calibri" w:cs="Calibri"/>
          <w:color w:val="002151"/>
          <w:w w:val="110"/>
          <w:kern w:val="20"/>
          <w:szCs w:val="20"/>
        </w:rPr>
        <w:t>rked well,</w:t>
      </w:r>
      <w:r w:rsidR="00B927C3">
        <w:rPr>
          <w:rFonts w:ascii="Calibri" w:hAnsi="Calibri" w:cs="Calibri"/>
          <w:color w:val="002151"/>
          <w:w w:val="110"/>
          <w:kern w:val="20"/>
          <w:szCs w:val="20"/>
        </w:rPr>
        <w:t xml:space="preserve"> it provides issuers </w:t>
      </w:r>
      <w:r w:rsidR="00DE70DD">
        <w:rPr>
          <w:rFonts w:ascii="Calibri" w:hAnsi="Calibri" w:cs="Calibri"/>
          <w:color w:val="002151"/>
          <w:w w:val="110"/>
          <w:kern w:val="20"/>
          <w:szCs w:val="20"/>
        </w:rPr>
        <w:t>with the flexibility to conduct</w:t>
      </w:r>
      <w:r w:rsidR="00967830">
        <w:rPr>
          <w:rFonts w:ascii="Calibri" w:hAnsi="Calibri" w:cs="Calibri"/>
          <w:color w:val="002151"/>
          <w:w w:val="110"/>
          <w:kern w:val="20"/>
          <w:szCs w:val="20"/>
        </w:rPr>
        <w:t xml:space="preserve"> moderately</w:t>
      </w:r>
      <w:r w:rsidR="00DE70DD">
        <w:rPr>
          <w:rFonts w:ascii="Calibri" w:hAnsi="Calibri" w:cs="Calibri"/>
          <w:color w:val="002151"/>
          <w:w w:val="110"/>
          <w:kern w:val="20"/>
          <w:szCs w:val="20"/>
        </w:rPr>
        <w:t xml:space="preserve"> large rights issues </w:t>
      </w:r>
      <w:r w:rsidR="00800541">
        <w:rPr>
          <w:rFonts w:ascii="Calibri" w:hAnsi="Calibri" w:cs="Calibri"/>
          <w:color w:val="002151"/>
          <w:w w:val="110"/>
          <w:kern w:val="20"/>
          <w:szCs w:val="20"/>
        </w:rPr>
        <w:t>at speed</w:t>
      </w:r>
      <w:r w:rsidR="00CF4CE8">
        <w:rPr>
          <w:rFonts w:ascii="Calibri" w:hAnsi="Calibri" w:cs="Calibri"/>
          <w:color w:val="002151"/>
          <w:w w:val="110"/>
          <w:kern w:val="20"/>
          <w:szCs w:val="20"/>
        </w:rPr>
        <w:t xml:space="preserve">, </w:t>
      </w:r>
      <w:r w:rsidR="00C124E2">
        <w:rPr>
          <w:rFonts w:ascii="Calibri" w:hAnsi="Calibri" w:cs="Calibri"/>
          <w:color w:val="002151"/>
          <w:w w:val="110"/>
          <w:kern w:val="20"/>
          <w:szCs w:val="20"/>
        </w:rPr>
        <w:t xml:space="preserve">whilst </w:t>
      </w:r>
      <w:r w:rsidR="00801280">
        <w:rPr>
          <w:rFonts w:ascii="Calibri" w:hAnsi="Calibri" w:cs="Calibri"/>
          <w:color w:val="002151"/>
          <w:w w:val="110"/>
          <w:kern w:val="20"/>
          <w:szCs w:val="20"/>
        </w:rPr>
        <w:t>maintaining</w:t>
      </w:r>
      <w:r w:rsidR="00C124E2">
        <w:rPr>
          <w:rFonts w:ascii="Calibri" w:hAnsi="Calibri" w:cs="Calibri"/>
          <w:color w:val="002151"/>
          <w:w w:val="110"/>
          <w:kern w:val="20"/>
          <w:szCs w:val="20"/>
        </w:rPr>
        <w:t xml:space="preserve"> the </w:t>
      </w:r>
      <w:r w:rsidR="00094E86">
        <w:rPr>
          <w:rFonts w:ascii="Calibri" w:hAnsi="Calibri" w:cs="Calibri"/>
          <w:color w:val="002151"/>
          <w:w w:val="110"/>
          <w:kern w:val="20"/>
          <w:szCs w:val="20"/>
        </w:rPr>
        <w:t>appropriate</w:t>
      </w:r>
      <w:r w:rsidR="00C124E2">
        <w:rPr>
          <w:rFonts w:ascii="Calibri" w:hAnsi="Calibri" w:cs="Calibri"/>
          <w:color w:val="002151"/>
          <w:w w:val="110"/>
          <w:kern w:val="20"/>
          <w:szCs w:val="20"/>
        </w:rPr>
        <w:t xml:space="preserve"> shareholder protections afforded</w:t>
      </w:r>
      <w:r w:rsidR="00801280">
        <w:rPr>
          <w:rFonts w:ascii="Calibri" w:hAnsi="Calibri" w:cs="Calibri"/>
          <w:color w:val="002151"/>
          <w:w w:val="110"/>
          <w:kern w:val="20"/>
          <w:szCs w:val="20"/>
        </w:rPr>
        <w:t xml:space="preserve"> by </w:t>
      </w:r>
      <w:r w:rsidR="00163F30">
        <w:rPr>
          <w:rFonts w:ascii="Calibri" w:hAnsi="Calibri" w:cs="Calibri"/>
          <w:color w:val="002151"/>
          <w:w w:val="110"/>
          <w:kern w:val="20"/>
          <w:szCs w:val="20"/>
        </w:rPr>
        <w:t>existing</w:t>
      </w:r>
      <w:r w:rsidR="00BB4968">
        <w:rPr>
          <w:rFonts w:ascii="Calibri" w:hAnsi="Calibri" w:cs="Calibri"/>
          <w:color w:val="002151"/>
          <w:w w:val="110"/>
          <w:kern w:val="20"/>
          <w:szCs w:val="20"/>
        </w:rPr>
        <w:t xml:space="preserve"> pre-emption rights</w:t>
      </w:r>
      <w:r w:rsidR="00801280">
        <w:rPr>
          <w:rFonts w:ascii="Calibri" w:hAnsi="Calibri" w:cs="Calibri"/>
          <w:color w:val="002151"/>
          <w:w w:val="110"/>
          <w:kern w:val="20"/>
          <w:szCs w:val="20"/>
        </w:rPr>
        <w:t xml:space="preserve">, and </w:t>
      </w:r>
      <w:r w:rsidR="00695A9A">
        <w:rPr>
          <w:rFonts w:ascii="Calibri" w:hAnsi="Calibri" w:cs="Calibri"/>
          <w:color w:val="002151"/>
          <w:w w:val="110"/>
          <w:kern w:val="20"/>
          <w:szCs w:val="20"/>
        </w:rPr>
        <w:t xml:space="preserve">the requirement to obtain shareholder approval ahead of </w:t>
      </w:r>
      <w:r w:rsidR="007D27AA" w:rsidRPr="007D27AA">
        <w:rPr>
          <w:rFonts w:ascii="Calibri" w:hAnsi="Calibri" w:cs="Calibri"/>
          <w:color w:val="002151"/>
          <w:w w:val="110"/>
          <w:kern w:val="20"/>
          <w:szCs w:val="20"/>
        </w:rPr>
        <w:t>a Class 1 transaction</w:t>
      </w:r>
      <w:r w:rsidR="00957A46">
        <w:rPr>
          <w:rFonts w:ascii="Calibri" w:hAnsi="Calibri" w:cs="Calibri"/>
          <w:color w:val="002151"/>
          <w:w w:val="110"/>
          <w:kern w:val="20"/>
          <w:szCs w:val="20"/>
        </w:rPr>
        <w:t>.</w:t>
      </w:r>
    </w:p>
    <w:p w14:paraId="17C8BDF9" w14:textId="070C1ABB" w:rsidR="009D2BDB" w:rsidRPr="00876B8C" w:rsidRDefault="00C648AC" w:rsidP="008F6BCF">
      <w:pPr>
        <w:jc w:val="both"/>
        <w:rPr>
          <w:rFonts w:ascii="Calibri" w:hAnsi="Calibri" w:cs="Calibri"/>
          <w:color w:val="002151"/>
          <w:w w:val="110"/>
          <w:kern w:val="20"/>
          <w:szCs w:val="20"/>
        </w:rPr>
      </w:pPr>
      <w:r>
        <w:rPr>
          <w:rFonts w:ascii="Calibri" w:hAnsi="Calibri" w:cs="Calibri"/>
          <w:color w:val="002151"/>
          <w:w w:val="110"/>
          <w:kern w:val="20"/>
          <w:szCs w:val="20"/>
        </w:rPr>
        <w:t xml:space="preserve">The </w:t>
      </w:r>
      <w:r w:rsidR="009D2BDB" w:rsidRPr="009D2BDB">
        <w:rPr>
          <w:rFonts w:ascii="Calibri" w:hAnsi="Calibri" w:cs="Calibri"/>
          <w:color w:val="002151"/>
          <w:w w:val="110"/>
          <w:kern w:val="20"/>
          <w:szCs w:val="20"/>
        </w:rPr>
        <w:t>IA and</w:t>
      </w:r>
      <w:r w:rsidR="009D2BDB">
        <w:rPr>
          <w:rFonts w:ascii="Calibri" w:hAnsi="Calibri" w:cs="Calibri"/>
          <w:color w:val="002151"/>
          <w:w w:val="110"/>
          <w:kern w:val="20"/>
          <w:szCs w:val="20"/>
        </w:rPr>
        <w:t xml:space="preserve"> our</w:t>
      </w:r>
      <w:r w:rsidR="009D2BDB" w:rsidRPr="009D2BDB">
        <w:rPr>
          <w:rFonts w:ascii="Calibri" w:hAnsi="Calibri" w:cs="Calibri"/>
          <w:color w:val="002151"/>
          <w:w w:val="110"/>
          <w:kern w:val="20"/>
          <w:szCs w:val="20"/>
        </w:rPr>
        <w:t xml:space="preserve"> members continue to believe that </w:t>
      </w:r>
      <w:r w:rsidR="000F288A">
        <w:rPr>
          <w:rFonts w:ascii="Calibri" w:hAnsi="Calibri" w:cs="Calibri"/>
          <w:color w:val="002151"/>
          <w:w w:val="110"/>
          <w:kern w:val="20"/>
          <w:szCs w:val="20"/>
        </w:rPr>
        <w:t xml:space="preserve">this ceiling is </w:t>
      </w:r>
      <w:proofErr w:type="gramStart"/>
      <w:r w:rsidR="000F288A">
        <w:rPr>
          <w:rFonts w:ascii="Calibri" w:hAnsi="Calibri" w:cs="Calibri"/>
          <w:color w:val="002151"/>
          <w:w w:val="110"/>
          <w:kern w:val="20"/>
          <w:szCs w:val="20"/>
        </w:rPr>
        <w:t>appropriate</w:t>
      </w:r>
      <w:proofErr w:type="gramEnd"/>
      <w:r w:rsidR="000F288A">
        <w:rPr>
          <w:rFonts w:ascii="Calibri" w:hAnsi="Calibri" w:cs="Calibri"/>
          <w:color w:val="002151"/>
          <w:w w:val="110"/>
          <w:kern w:val="20"/>
          <w:szCs w:val="20"/>
        </w:rPr>
        <w:t xml:space="preserve"> and that </w:t>
      </w:r>
      <w:r w:rsidR="008F6BCF">
        <w:rPr>
          <w:rFonts w:ascii="Calibri" w:hAnsi="Calibri" w:cs="Calibri"/>
          <w:color w:val="002151"/>
          <w:w w:val="110"/>
          <w:kern w:val="20"/>
          <w:szCs w:val="20"/>
        </w:rPr>
        <w:t xml:space="preserve">shareholder approval should be required for </w:t>
      </w:r>
      <w:r w:rsidR="006961A1">
        <w:rPr>
          <w:rFonts w:ascii="Calibri" w:hAnsi="Calibri" w:cs="Calibri"/>
          <w:color w:val="002151"/>
          <w:w w:val="110"/>
          <w:kern w:val="20"/>
          <w:szCs w:val="20"/>
        </w:rPr>
        <w:t xml:space="preserve">any allotment </w:t>
      </w:r>
      <w:r w:rsidR="00D81098">
        <w:rPr>
          <w:rFonts w:ascii="Calibri" w:hAnsi="Calibri" w:cs="Calibri"/>
          <w:color w:val="002151"/>
          <w:w w:val="110"/>
          <w:kern w:val="20"/>
          <w:szCs w:val="20"/>
        </w:rPr>
        <w:t>greater</w:t>
      </w:r>
      <w:r w:rsidR="006961A1">
        <w:rPr>
          <w:rFonts w:ascii="Calibri" w:hAnsi="Calibri" w:cs="Calibri"/>
          <w:color w:val="002151"/>
          <w:w w:val="110"/>
          <w:kern w:val="20"/>
          <w:szCs w:val="20"/>
        </w:rPr>
        <w:t xml:space="preserve"> than 66.7% of issued share capital.</w:t>
      </w:r>
      <w:r w:rsidR="0017786B">
        <w:rPr>
          <w:rFonts w:ascii="Calibri" w:hAnsi="Calibri" w:cs="Calibri"/>
          <w:color w:val="002151"/>
          <w:w w:val="110"/>
          <w:kern w:val="20"/>
          <w:szCs w:val="20"/>
        </w:rPr>
        <w:t xml:space="preserve"> Th</w:t>
      </w:r>
      <w:r w:rsidR="003E0670">
        <w:rPr>
          <w:rFonts w:ascii="Calibri" w:hAnsi="Calibri" w:cs="Calibri"/>
          <w:color w:val="002151"/>
          <w:w w:val="110"/>
          <w:kern w:val="20"/>
          <w:szCs w:val="20"/>
        </w:rPr>
        <w:t xml:space="preserve">is limit is an important element of governance around share capital </w:t>
      </w:r>
      <w:proofErr w:type="gramStart"/>
      <w:r w:rsidR="003E0670">
        <w:rPr>
          <w:rFonts w:ascii="Calibri" w:hAnsi="Calibri" w:cs="Calibri"/>
          <w:color w:val="002151"/>
          <w:w w:val="110"/>
          <w:kern w:val="20"/>
          <w:szCs w:val="20"/>
        </w:rPr>
        <w:t>management</w:t>
      </w:r>
      <w:r w:rsidR="003D12D5">
        <w:rPr>
          <w:rFonts w:ascii="Calibri" w:hAnsi="Calibri" w:cs="Calibri"/>
          <w:color w:val="002151"/>
          <w:w w:val="110"/>
          <w:kern w:val="20"/>
          <w:szCs w:val="20"/>
        </w:rPr>
        <w:t xml:space="preserve">, </w:t>
      </w:r>
      <w:r w:rsidR="003D12D5" w:rsidRPr="003D12D5">
        <w:rPr>
          <w:rFonts w:ascii="Calibri" w:hAnsi="Calibri" w:cs="Calibri"/>
          <w:color w:val="002151"/>
          <w:w w:val="110"/>
          <w:kern w:val="20"/>
          <w:szCs w:val="20"/>
        </w:rPr>
        <w:t>and</w:t>
      </w:r>
      <w:proofErr w:type="gramEnd"/>
      <w:r w:rsidR="003D12D5" w:rsidRPr="003D12D5">
        <w:rPr>
          <w:rFonts w:ascii="Calibri" w:hAnsi="Calibri" w:cs="Calibri"/>
          <w:color w:val="002151"/>
          <w:w w:val="110"/>
          <w:kern w:val="20"/>
          <w:szCs w:val="20"/>
        </w:rPr>
        <w:t xml:space="preserve"> ensures that shareholders are consulted ahead of a capital raise that would raise a transformational amount of </w:t>
      </w:r>
      <w:r w:rsidR="00D930C5">
        <w:rPr>
          <w:rFonts w:ascii="Calibri" w:hAnsi="Calibri" w:cs="Calibri"/>
          <w:color w:val="002151"/>
          <w:w w:val="110"/>
          <w:kern w:val="20"/>
          <w:szCs w:val="20"/>
        </w:rPr>
        <w:t>capital</w:t>
      </w:r>
      <w:r w:rsidR="003D12D5" w:rsidRPr="003D12D5">
        <w:rPr>
          <w:rFonts w:ascii="Calibri" w:hAnsi="Calibri" w:cs="Calibri"/>
          <w:color w:val="002151"/>
          <w:w w:val="110"/>
          <w:kern w:val="20"/>
          <w:szCs w:val="20"/>
        </w:rPr>
        <w:t xml:space="preserve">. </w:t>
      </w:r>
      <w:r w:rsidR="003A0B31">
        <w:rPr>
          <w:rFonts w:ascii="Calibri" w:hAnsi="Calibri" w:cs="Calibri"/>
          <w:color w:val="002151"/>
          <w:w w:val="110"/>
          <w:kern w:val="20"/>
          <w:szCs w:val="20"/>
        </w:rPr>
        <w:t xml:space="preserve"> </w:t>
      </w:r>
      <w:r w:rsidR="00112C16">
        <w:rPr>
          <w:rFonts w:ascii="Calibri" w:hAnsi="Calibri" w:cs="Calibri"/>
          <w:color w:val="002151"/>
          <w:w w:val="110"/>
          <w:kern w:val="20"/>
          <w:szCs w:val="20"/>
        </w:rPr>
        <w:t>The 66.7% ceiling also restricts the</w:t>
      </w:r>
      <w:r w:rsidR="009E447B">
        <w:rPr>
          <w:rFonts w:ascii="Calibri" w:hAnsi="Calibri" w:cs="Calibri"/>
          <w:color w:val="002151"/>
          <w:w w:val="110"/>
          <w:kern w:val="20"/>
          <w:szCs w:val="20"/>
        </w:rPr>
        <w:t xml:space="preserve"> size of</w:t>
      </w:r>
      <w:r w:rsidR="00112C16">
        <w:rPr>
          <w:rFonts w:ascii="Calibri" w:hAnsi="Calibri" w:cs="Calibri"/>
          <w:color w:val="002151"/>
          <w:w w:val="110"/>
          <w:kern w:val="20"/>
          <w:szCs w:val="20"/>
        </w:rPr>
        <w:t xml:space="preserve"> discount applicable to the rights as issuers seeking to raise a specific amount of capital only have a limited </w:t>
      </w:r>
      <w:proofErr w:type="gramStart"/>
      <w:r w:rsidR="00112C16">
        <w:rPr>
          <w:rFonts w:ascii="Calibri" w:hAnsi="Calibri" w:cs="Calibri"/>
          <w:color w:val="002151"/>
          <w:w w:val="110"/>
          <w:kern w:val="20"/>
          <w:szCs w:val="20"/>
        </w:rPr>
        <w:t>amount</w:t>
      </w:r>
      <w:proofErr w:type="gramEnd"/>
      <w:r w:rsidR="00112C16">
        <w:rPr>
          <w:rFonts w:ascii="Calibri" w:hAnsi="Calibri" w:cs="Calibri"/>
          <w:color w:val="002151"/>
          <w:w w:val="110"/>
          <w:kern w:val="20"/>
          <w:szCs w:val="20"/>
        </w:rPr>
        <w:t xml:space="preserve"> of shares to allot.</w:t>
      </w:r>
    </w:p>
    <w:p w14:paraId="654D1B5B" w14:textId="4A2CF6A2" w:rsidR="00B210F0" w:rsidRDefault="002D2FFD" w:rsidP="0020190C">
      <w:pPr>
        <w:pStyle w:val="ListParagraph"/>
        <w:numPr>
          <w:ilvl w:val="0"/>
          <w:numId w:val="15"/>
        </w:numPr>
        <w:jc w:val="both"/>
        <w:rPr>
          <w:rFonts w:cs="Calibri"/>
          <w:bCs/>
        </w:rPr>
      </w:pPr>
      <w:r w:rsidRPr="009D2BDB">
        <w:rPr>
          <w:rFonts w:cs="Calibri"/>
          <w:bCs/>
        </w:rPr>
        <w:t>Rights Offer Duration</w:t>
      </w:r>
    </w:p>
    <w:p w14:paraId="39FE8296" w14:textId="77777777" w:rsidR="00C648AC" w:rsidRDefault="00C648AC" w:rsidP="0020190C">
      <w:pPr>
        <w:pStyle w:val="ListParagraph"/>
        <w:jc w:val="both"/>
        <w:rPr>
          <w:rFonts w:cs="Calibri"/>
          <w:bCs/>
        </w:rPr>
      </w:pPr>
    </w:p>
    <w:p w14:paraId="6DE49F8D" w14:textId="783D9C02" w:rsidR="00B210F0" w:rsidRPr="00214BEC" w:rsidRDefault="00C648AC" w:rsidP="0020190C">
      <w:pPr>
        <w:pStyle w:val="NoSpacing"/>
        <w:jc w:val="both"/>
        <w:rPr>
          <w:rFonts w:ascii="Calibri" w:hAnsi="Calibri" w:cs="Calibri"/>
          <w:bCs/>
          <w:color w:val="002151"/>
          <w:w w:val="110"/>
          <w:kern w:val="20"/>
          <w:szCs w:val="20"/>
        </w:rPr>
      </w:pPr>
      <w:r w:rsidRPr="00214BEC">
        <w:rPr>
          <w:rFonts w:ascii="Calibri" w:hAnsi="Calibri" w:cs="Calibri"/>
          <w:bCs/>
          <w:color w:val="002151"/>
          <w:w w:val="110"/>
          <w:kern w:val="20"/>
          <w:szCs w:val="20"/>
        </w:rPr>
        <w:t>The final contributing factor to the duration and costs is the duration of the rights offer period</w:t>
      </w:r>
      <w:r w:rsidR="002E1978" w:rsidRPr="00214BEC">
        <w:rPr>
          <w:rFonts w:ascii="Calibri" w:hAnsi="Calibri" w:cs="Calibri"/>
          <w:bCs/>
          <w:color w:val="002151"/>
          <w:w w:val="110"/>
          <w:kern w:val="20"/>
          <w:szCs w:val="20"/>
        </w:rPr>
        <w:t>, being 10 business days. The IA and our members believe that this is an appropriate duration; it</w:t>
      </w:r>
      <w:r w:rsidR="00214BEC">
        <w:rPr>
          <w:rFonts w:ascii="Calibri" w:hAnsi="Calibri" w:cs="Calibri"/>
          <w:bCs/>
          <w:color w:val="002151"/>
          <w:w w:val="110"/>
          <w:kern w:val="20"/>
          <w:szCs w:val="20"/>
        </w:rPr>
        <w:t xml:space="preserve"> strikes an appropriate balance between</w:t>
      </w:r>
      <w:r w:rsidR="002E1978" w:rsidRPr="00214BEC">
        <w:rPr>
          <w:rFonts w:ascii="Calibri" w:hAnsi="Calibri" w:cs="Calibri"/>
          <w:bCs/>
          <w:color w:val="002151"/>
          <w:w w:val="110"/>
          <w:kern w:val="20"/>
          <w:szCs w:val="20"/>
        </w:rPr>
        <w:t xml:space="preserve"> provid</w:t>
      </w:r>
      <w:r w:rsidR="00214BEC">
        <w:rPr>
          <w:rFonts w:ascii="Calibri" w:hAnsi="Calibri" w:cs="Calibri"/>
          <w:bCs/>
          <w:color w:val="002151"/>
          <w:w w:val="110"/>
          <w:kern w:val="20"/>
          <w:szCs w:val="20"/>
        </w:rPr>
        <w:t>ing</w:t>
      </w:r>
      <w:r w:rsidR="002E1978" w:rsidRPr="00214BEC">
        <w:rPr>
          <w:rFonts w:ascii="Calibri" w:hAnsi="Calibri" w:cs="Calibri"/>
          <w:bCs/>
          <w:color w:val="002151"/>
          <w:w w:val="110"/>
          <w:kern w:val="20"/>
          <w:szCs w:val="20"/>
        </w:rPr>
        <w:t xml:space="preserve"> shareholders</w:t>
      </w:r>
      <w:r w:rsidR="00C177A5">
        <w:rPr>
          <w:rFonts w:ascii="Calibri" w:hAnsi="Calibri" w:cs="Calibri"/>
          <w:bCs/>
          <w:color w:val="002151"/>
          <w:w w:val="110"/>
          <w:kern w:val="20"/>
          <w:szCs w:val="20"/>
        </w:rPr>
        <w:t>, especially retail shareholders,</w:t>
      </w:r>
      <w:r w:rsidR="002E1978" w:rsidRPr="00214BEC">
        <w:rPr>
          <w:rFonts w:ascii="Calibri" w:hAnsi="Calibri" w:cs="Calibri"/>
          <w:bCs/>
          <w:color w:val="002151"/>
          <w:w w:val="110"/>
          <w:kern w:val="20"/>
          <w:szCs w:val="20"/>
        </w:rPr>
        <w:t xml:space="preserve"> enough time to make an informed decision on </w:t>
      </w:r>
      <w:r w:rsidR="00214BEC">
        <w:rPr>
          <w:rFonts w:ascii="Calibri" w:hAnsi="Calibri" w:cs="Calibri"/>
          <w:bCs/>
          <w:color w:val="002151"/>
          <w:w w:val="110"/>
          <w:kern w:val="20"/>
          <w:szCs w:val="20"/>
        </w:rPr>
        <w:t>how to exercise their rights, whilst limiting market risk and possible share price volatility, and so limiting the cost of capital to the issuer.</w:t>
      </w:r>
    </w:p>
    <w:p w14:paraId="3C87EF4D" w14:textId="77777777" w:rsidR="002E1978" w:rsidRPr="002E1978" w:rsidRDefault="002E1978" w:rsidP="0020190C">
      <w:pPr>
        <w:pStyle w:val="NoSpacing"/>
        <w:jc w:val="both"/>
        <w:rPr>
          <w:u w:val="single"/>
        </w:rPr>
      </w:pPr>
    </w:p>
    <w:p w14:paraId="0A53EFF9" w14:textId="10817491" w:rsidR="00112C16" w:rsidRDefault="00876B8C" w:rsidP="0020190C">
      <w:pPr>
        <w:jc w:val="both"/>
        <w:rPr>
          <w:rFonts w:ascii="Calibri" w:hAnsi="Calibri" w:cs="Calibri"/>
          <w:bCs/>
          <w:color w:val="002151"/>
          <w:w w:val="110"/>
          <w:kern w:val="20"/>
          <w:szCs w:val="20"/>
        </w:rPr>
      </w:pPr>
      <w:r w:rsidRPr="004A486F">
        <w:rPr>
          <w:rFonts w:ascii="Calibri" w:hAnsi="Calibri" w:cs="Calibri"/>
          <w:bCs/>
          <w:color w:val="002151"/>
          <w:w w:val="110"/>
          <w:kern w:val="20"/>
          <w:szCs w:val="20"/>
        </w:rPr>
        <w:lastRenderedPageBreak/>
        <w:t xml:space="preserve">A further shortening of the offer period would have adverse implications on the ability of institutional investors to consider the rights issue and conduct a meaningful engagement with </w:t>
      </w:r>
      <w:r w:rsidR="0037093C">
        <w:rPr>
          <w:rFonts w:ascii="Calibri" w:hAnsi="Calibri" w:cs="Calibri"/>
          <w:bCs/>
          <w:color w:val="002151"/>
          <w:w w:val="110"/>
          <w:kern w:val="20"/>
          <w:szCs w:val="20"/>
        </w:rPr>
        <w:t xml:space="preserve">company board and management teams </w:t>
      </w:r>
      <w:r w:rsidR="004A486F">
        <w:rPr>
          <w:rFonts w:ascii="Calibri" w:hAnsi="Calibri" w:cs="Calibri"/>
          <w:bCs/>
          <w:color w:val="002151"/>
          <w:w w:val="110"/>
          <w:kern w:val="20"/>
          <w:szCs w:val="20"/>
        </w:rPr>
        <w:t>on how the rights issue will contribute to the long-term value.</w:t>
      </w:r>
      <w:r w:rsidR="009256C8">
        <w:rPr>
          <w:rFonts w:ascii="Calibri" w:hAnsi="Calibri" w:cs="Calibri"/>
          <w:bCs/>
          <w:color w:val="002151"/>
          <w:w w:val="110"/>
          <w:kern w:val="20"/>
          <w:szCs w:val="20"/>
        </w:rPr>
        <w:t xml:space="preserve"> </w:t>
      </w:r>
      <w:r w:rsidR="00491312">
        <w:rPr>
          <w:rFonts w:ascii="Calibri" w:hAnsi="Calibri" w:cs="Calibri"/>
          <w:bCs/>
          <w:color w:val="002151"/>
          <w:w w:val="110"/>
          <w:kern w:val="20"/>
          <w:szCs w:val="20"/>
        </w:rPr>
        <w:t xml:space="preserve">This is </w:t>
      </w:r>
      <w:r w:rsidR="009256C8">
        <w:rPr>
          <w:rFonts w:ascii="Calibri" w:hAnsi="Calibri" w:cs="Calibri"/>
          <w:bCs/>
          <w:color w:val="002151"/>
          <w:w w:val="110"/>
          <w:kern w:val="20"/>
          <w:szCs w:val="20"/>
        </w:rPr>
        <w:t>particular</w:t>
      </w:r>
      <w:r w:rsidR="00491312">
        <w:rPr>
          <w:rFonts w:ascii="Calibri" w:hAnsi="Calibri" w:cs="Calibri"/>
          <w:bCs/>
          <w:color w:val="002151"/>
          <w:w w:val="110"/>
          <w:kern w:val="20"/>
          <w:szCs w:val="20"/>
        </w:rPr>
        <w:t>ly the case</w:t>
      </w:r>
      <w:r w:rsidR="009256C8">
        <w:rPr>
          <w:rFonts w:ascii="Calibri" w:hAnsi="Calibri" w:cs="Calibri"/>
          <w:bCs/>
          <w:color w:val="002151"/>
          <w:w w:val="110"/>
          <w:kern w:val="20"/>
          <w:szCs w:val="20"/>
        </w:rPr>
        <w:t>, where</w:t>
      </w:r>
      <w:r w:rsidR="00A1757F">
        <w:rPr>
          <w:rFonts w:ascii="Calibri" w:hAnsi="Calibri" w:cs="Calibri"/>
          <w:bCs/>
          <w:color w:val="002151"/>
          <w:w w:val="110"/>
          <w:kern w:val="20"/>
          <w:szCs w:val="20"/>
        </w:rPr>
        <w:t xml:space="preserve"> a rights issue is held in connection with a </w:t>
      </w:r>
      <w:r w:rsidR="00976B2D">
        <w:rPr>
          <w:rFonts w:ascii="Calibri" w:hAnsi="Calibri" w:cs="Calibri"/>
          <w:bCs/>
          <w:color w:val="002151"/>
          <w:w w:val="110"/>
          <w:kern w:val="20"/>
          <w:szCs w:val="20"/>
        </w:rPr>
        <w:t>class 1 transaction, or any</w:t>
      </w:r>
      <w:r w:rsidR="005A3888">
        <w:rPr>
          <w:rFonts w:ascii="Calibri" w:hAnsi="Calibri" w:cs="Calibri"/>
          <w:bCs/>
          <w:color w:val="002151"/>
          <w:w w:val="110"/>
          <w:kern w:val="20"/>
          <w:szCs w:val="20"/>
        </w:rPr>
        <w:t xml:space="preserve"> </w:t>
      </w:r>
      <w:r w:rsidR="00976B2D">
        <w:rPr>
          <w:rFonts w:ascii="Calibri" w:hAnsi="Calibri" w:cs="Calibri"/>
          <w:bCs/>
          <w:color w:val="002151"/>
          <w:w w:val="110"/>
          <w:kern w:val="20"/>
          <w:szCs w:val="20"/>
        </w:rPr>
        <w:t>other matter which requires shareholder approval</w:t>
      </w:r>
      <w:r w:rsidR="005A3888">
        <w:rPr>
          <w:rFonts w:ascii="Calibri" w:hAnsi="Calibri" w:cs="Calibri"/>
          <w:bCs/>
          <w:color w:val="002151"/>
          <w:w w:val="110"/>
          <w:kern w:val="20"/>
          <w:szCs w:val="20"/>
        </w:rPr>
        <w:t>, the decision making process will require mor</w:t>
      </w:r>
      <w:r w:rsidR="00085B21">
        <w:rPr>
          <w:rFonts w:ascii="Calibri" w:hAnsi="Calibri" w:cs="Calibri"/>
          <w:bCs/>
          <w:color w:val="002151"/>
          <w:w w:val="110"/>
          <w:kern w:val="20"/>
          <w:szCs w:val="20"/>
        </w:rPr>
        <w:t>e</w:t>
      </w:r>
      <w:r w:rsidR="005A3888">
        <w:rPr>
          <w:rFonts w:ascii="Calibri" w:hAnsi="Calibri" w:cs="Calibri"/>
          <w:bCs/>
          <w:color w:val="002151"/>
          <w:w w:val="110"/>
          <w:kern w:val="20"/>
          <w:szCs w:val="20"/>
        </w:rPr>
        <w:t xml:space="preserve"> extensive consideration and engagement with the Company.</w:t>
      </w:r>
    </w:p>
    <w:p w14:paraId="58F94CD7" w14:textId="630F2995" w:rsidR="00C11B66" w:rsidRPr="00166316" w:rsidRDefault="00112C16" w:rsidP="00112C16">
      <w:pPr>
        <w:pStyle w:val="ListParagraph"/>
        <w:numPr>
          <w:ilvl w:val="0"/>
          <w:numId w:val="23"/>
        </w:numPr>
        <w:jc w:val="both"/>
        <w:rPr>
          <w:rFonts w:cs="Calibri"/>
          <w:b/>
          <w:highlight w:val="yellow"/>
        </w:rPr>
      </w:pPr>
      <w:r w:rsidRPr="00166316">
        <w:rPr>
          <w:rFonts w:cs="Calibri"/>
          <w:b/>
          <w:highlight w:val="yellow"/>
        </w:rPr>
        <w:t>In the engagements we have ha</w:t>
      </w:r>
      <w:r w:rsidR="00C11B66" w:rsidRPr="00166316">
        <w:rPr>
          <w:rFonts w:cs="Calibri"/>
          <w:b/>
          <w:highlight w:val="yellow"/>
        </w:rPr>
        <w:t>d so far, members have not expressed a wish to shorten the rights offer duration. However</w:t>
      </w:r>
      <w:r w:rsidR="000A5AC1" w:rsidRPr="00166316">
        <w:rPr>
          <w:rFonts w:cs="Calibri"/>
          <w:b/>
          <w:highlight w:val="yellow"/>
        </w:rPr>
        <w:t>,</w:t>
      </w:r>
      <w:r w:rsidR="00C11B66" w:rsidRPr="00166316">
        <w:rPr>
          <w:rFonts w:cs="Calibri"/>
          <w:b/>
          <w:highlight w:val="yellow"/>
        </w:rPr>
        <w:t xml:space="preserve"> we would like to hear more views on </w:t>
      </w:r>
    </w:p>
    <w:p w14:paraId="3C8D2705" w14:textId="14819B12" w:rsidR="00C11B66" w:rsidRPr="00166316" w:rsidRDefault="00C11B66" w:rsidP="00C11B66">
      <w:pPr>
        <w:pStyle w:val="ListParagraph"/>
        <w:numPr>
          <w:ilvl w:val="1"/>
          <w:numId w:val="23"/>
        </w:numPr>
        <w:jc w:val="both"/>
        <w:rPr>
          <w:rFonts w:cs="Calibri"/>
          <w:b/>
          <w:highlight w:val="yellow"/>
        </w:rPr>
      </w:pPr>
      <w:r w:rsidRPr="00166316">
        <w:rPr>
          <w:rFonts w:cs="Calibri"/>
          <w:b/>
          <w:highlight w:val="yellow"/>
        </w:rPr>
        <w:t xml:space="preserve">if members are happy with the current </w:t>
      </w:r>
      <w:r w:rsidR="000A5AC1" w:rsidRPr="00166316">
        <w:rPr>
          <w:rFonts w:cs="Calibri"/>
          <w:b/>
          <w:highlight w:val="yellow"/>
        </w:rPr>
        <w:t>2-week</w:t>
      </w:r>
      <w:r w:rsidRPr="00166316">
        <w:rPr>
          <w:rFonts w:cs="Calibri"/>
          <w:b/>
          <w:highlight w:val="yellow"/>
        </w:rPr>
        <w:t xml:space="preserve"> duration; or</w:t>
      </w:r>
    </w:p>
    <w:p w14:paraId="49A37737" w14:textId="7918EEC9" w:rsidR="005C708D" w:rsidRDefault="00C11B66" w:rsidP="0020190C">
      <w:pPr>
        <w:pStyle w:val="ListParagraph"/>
        <w:numPr>
          <w:ilvl w:val="1"/>
          <w:numId w:val="23"/>
        </w:numPr>
        <w:jc w:val="both"/>
        <w:rPr>
          <w:rFonts w:cs="Calibri"/>
          <w:b/>
          <w:highlight w:val="yellow"/>
        </w:rPr>
      </w:pPr>
      <w:r w:rsidRPr="00166316">
        <w:rPr>
          <w:rFonts w:cs="Calibri"/>
          <w:b/>
          <w:highlight w:val="yellow"/>
        </w:rPr>
        <w:t>if members would like the duration period shortened? (</w:t>
      </w:r>
      <w:proofErr w:type="gramStart"/>
      <w:r w:rsidRPr="00166316">
        <w:rPr>
          <w:rFonts w:cs="Calibri"/>
          <w:b/>
          <w:highlight w:val="yellow"/>
        </w:rPr>
        <w:t>and</w:t>
      </w:r>
      <w:proofErr w:type="gramEnd"/>
      <w:r w:rsidRPr="00166316">
        <w:rPr>
          <w:rFonts w:cs="Calibri"/>
          <w:b/>
          <w:highlight w:val="yellow"/>
        </w:rPr>
        <w:t xml:space="preserve"> if so</w:t>
      </w:r>
      <w:r w:rsidR="009E447B">
        <w:rPr>
          <w:rFonts w:cs="Calibri"/>
          <w:b/>
          <w:highlight w:val="yellow"/>
        </w:rPr>
        <w:t>, by</w:t>
      </w:r>
      <w:r w:rsidRPr="00166316">
        <w:rPr>
          <w:rFonts w:cs="Calibri"/>
          <w:b/>
          <w:highlight w:val="yellow"/>
        </w:rPr>
        <w:t xml:space="preserve"> how much?)</w:t>
      </w:r>
    </w:p>
    <w:p w14:paraId="13D4E1D6" w14:textId="77777777" w:rsidR="000A5AC1" w:rsidRPr="00166316" w:rsidRDefault="000A5AC1" w:rsidP="006A76BB">
      <w:pPr>
        <w:pStyle w:val="ListParagraph"/>
        <w:ind w:left="1440"/>
        <w:jc w:val="both"/>
        <w:rPr>
          <w:rFonts w:cs="Calibri"/>
          <w:b/>
          <w:highlight w:val="yellow"/>
        </w:rPr>
      </w:pPr>
    </w:p>
    <w:p w14:paraId="41F49882" w14:textId="14AB8A0D" w:rsidR="008A23C9" w:rsidRDefault="0055152F" w:rsidP="0020190C">
      <w:pPr>
        <w:jc w:val="both"/>
        <w:rPr>
          <w:rFonts w:ascii="Calibri" w:hAnsi="Calibri" w:cs="Calibri"/>
          <w:bCs/>
          <w:color w:val="002151"/>
          <w:w w:val="110"/>
          <w:kern w:val="20"/>
          <w:szCs w:val="20"/>
        </w:rPr>
      </w:pPr>
      <w:r>
        <w:rPr>
          <w:rFonts w:ascii="Calibri" w:hAnsi="Calibri" w:cs="Calibri"/>
          <w:bCs/>
          <w:color w:val="002151"/>
          <w:w w:val="110"/>
          <w:kern w:val="20"/>
          <w:szCs w:val="20"/>
        </w:rPr>
        <w:t xml:space="preserve">The existing framework for a right issue process does </w:t>
      </w:r>
      <w:r w:rsidR="009E0112">
        <w:rPr>
          <w:rFonts w:ascii="Calibri" w:hAnsi="Calibri" w:cs="Calibri"/>
          <w:bCs/>
          <w:color w:val="002151"/>
          <w:w w:val="110"/>
          <w:kern w:val="20"/>
          <w:szCs w:val="20"/>
        </w:rPr>
        <w:t>p</w:t>
      </w:r>
      <w:r>
        <w:rPr>
          <w:rFonts w:ascii="Calibri" w:hAnsi="Calibri" w:cs="Calibri"/>
          <w:bCs/>
          <w:color w:val="002151"/>
          <w:w w:val="110"/>
          <w:kern w:val="20"/>
          <w:szCs w:val="20"/>
        </w:rPr>
        <w:t>r</w:t>
      </w:r>
      <w:r w:rsidR="009E0112">
        <w:rPr>
          <w:rFonts w:ascii="Calibri" w:hAnsi="Calibri" w:cs="Calibri"/>
          <w:bCs/>
          <w:color w:val="002151"/>
          <w:w w:val="110"/>
          <w:kern w:val="20"/>
          <w:szCs w:val="20"/>
        </w:rPr>
        <w:t>ovide</w:t>
      </w:r>
      <w:r>
        <w:rPr>
          <w:rFonts w:ascii="Calibri" w:hAnsi="Calibri" w:cs="Calibri"/>
          <w:bCs/>
          <w:color w:val="002151"/>
          <w:w w:val="110"/>
          <w:kern w:val="20"/>
          <w:szCs w:val="20"/>
        </w:rPr>
        <w:t xml:space="preserve"> </w:t>
      </w:r>
      <w:r w:rsidR="004308D4">
        <w:rPr>
          <w:rFonts w:ascii="Calibri" w:hAnsi="Calibri" w:cs="Calibri"/>
          <w:bCs/>
          <w:color w:val="002151"/>
          <w:w w:val="110"/>
          <w:kern w:val="20"/>
          <w:szCs w:val="20"/>
        </w:rPr>
        <w:t xml:space="preserve">issuers </w:t>
      </w:r>
      <w:r w:rsidR="00A80223">
        <w:rPr>
          <w:rFonts w:ascii="Calibri" w:hAnsi="Calibri" w:cs="Calibri"/>
          <w:bCs/>
          <w:color w:val="002151"/>
          <w:w w:val="110"/>
          <w:kern w:val="20"/>
          <w:szCs w:val="20"/>
        </w:rPr>
        <w:t>with some degree of flexibility</w:t>
      </w:r>
      <w:r w:rsidR="00136FB8">
        <w:rPr>
          <w:rFonts w:ascii="Calibri" w:hAnsi="Calibri" w:cs="Calibri"/>
          <w:bCs/>
          <w:color w:val="002151"/>
          <w:w w:val="110"/>
          <w:kern w:val="20"/>
          <w:szCs w:val="20"/>
        </w:rPr>
        <w:t xml:space="preserve">; issuers who apply for a </w:t>
      </w:r>
      <w:r w:rsidR="00303F85">
        <w:rPr>
          <w:rFonts w:ascii="Calibri" w:hAnsi="Calibri" w:cs="Calibri"/>
          <w:bCs/>
          <w:color w:val="002151"/>
          <w:w w:val="110"/>
          <w:kern w:val="20"/>
          <w:szCs w:val="20"/>
        </w:rPr>
        <w:t xml:space="preserve">further authority to allot shares up to 2/3 of the </w:t>
      </w:r>
      <w:r w:rsidR="0049258D">
        <w:rPr>
          <w:rFonts w:ascii="Calibri" w:hAnsi="Calibri" w:cs="Calibri"/>
          <w:bCs/>
          <w:color w:val="002151"/>
          <w:w w:val="110"/>
          <w:kern w:val="20"/>
          <w:szCs w:val="20"/>
        </w:rPr>
        <w:t>company’s</w:t>
      </w:r>
      <w:r w:rsidR="00303F85">
        <w:rPr>
          <w:rFonts w:ascii="Calibri" w:hAnsi="Calibri" w:cs="Calibri"/>
          <w:bCs/>
          <w:color w:val="002151"/>
          <w:w w:val="110"/>
          <w:kern w:val="20"/>
          <w:szCs w:val="20"/>
        </w:rPr>
        <w:t xml:space="preserve"> share capital</w:t>
      </w:r>
      <w:r w:rsidR="006A3E8F">
        <w:rPr>
          <w:rFonts w:ascii="Calibri" w:hAnsi="Calibri" w:cs="Calibri"/>
          <w:bCs/>
          <w:color w:val="002151"/>
          <w:w w:val="110"/>
          <w:kern w:val="20"/>
          <w:szCs w:val="20"/>
        </w:rPr>
        <w:t xml:space="preserve"> do</w:t>
      </w:r>
      <w:r w:rsidR="00303F85">
        <w:rPr>
          <w:rFonts w:ascii="Calibri" w:hAnsi="Calibri" w:cs="Calibri"/>
          <w:bCs/>
          <w:color w:val="002151"/>
          <w:w w:val="110"/>
          <w:kern w:val="20"/>
          <w:szCs w:val="20"/>
        </w:rPr>
        <w:t xml:space="preserve"> not require further approval for a </w:t>
      </w:r>
      <w:r w:rsidR="00564EEC">
        <w:rPr>
          <w:rFonts w:ascii="Calibri" w:hAnsi="Calibri" w:cs="Calibri"/>
          <w:bCs/>
          <w:color w:val="002151"/>
          <w:w w:val="110"/>
          <w:kern w:val="20"/>
          <w:szCs w:val="20"/>
        </w:rPr>
        <w:t>rights issue where it falls within this threshold and so shorten</w:t>
      </w:r>
      <w:r w:rsidR="003D1913">
        <w:rPr>
          <w:rFonts w:ascii="Calibri" w:hAnsi="Calibri" w:cs="Calibri"/>
          <w:bCs/>
          <w:color w:val="002151"/>
          <w:w w:val="110"/>
          <w:kern w:val="20"/>
          <w:szCs w:val="20"/>
        </w:rPr>
        <w:t xml:space="preserve">s the process by the </w:t>
      </w:r>
      <w:proofErr w:type="gramStart"/>
      <w:r w:rsidR="003D1913">
        <w:rPr>
          <w:rFonts w:ascii="Calibri" w:hAnsi="Calibri" w:cs="Calibri"/>
          <w:bCs/>
          <w:color w:val="002151"/>
          <w:w w:val="110"/>
          <w:kern w:val="20"/>
          <w:szCs w:val="20"/>
        </w:rPr>
        <w:t xml:space="preserve">14 </w:t>
      </w:r>
      <w:r w:rsidR="006A3E8F">
        <w:rPr>
          <w:rFonts w:ascii="Calibri" w:hAnsi="Calibri" w:cs="Calibri"/>
          <w:bCs/>
          <w:color w:val="002151"/>
          <w:w w:val="110"/>
          <w:kern w:val="20"/>
          <w:szCs w:val="20"/>
        </w:rPr>
        <w:t>day</w:t>
      </w:r>
      <w:proofErr w:type="gramEnd"/>
      <w:r w:rsidR="006A3E8F">
        <w:rPr>
          <w:rFonts w:ascii="Calibri" w:hAnsi="Calibri" w:cs="Calibri"/>
          <w:bCs/>
          <w:color w:val="002151"/>
          <w:w w:val="110"/>
          <w:kern w:val="20"/>
          <w:szCs w:val="20"/>
        </w:rPr>
        <w:t xml:space="preserve"> GM notice period.</w:t>
      </w:r>
      <w:r w:rsidR="00BC4260">
        <w:rPr>
          <w:rFonts w:ascii="Calibri" w:hAnsi="Calibri" w:cs="Calibri"/>
          <w:bCs/>
          <w:color w:val="002151"/>
          <w:w w:val="110"/>
          <w:kern w:val="20"/>
          <w:szCs w:val="20"/>
        </w:rPr>
        <w:t xml:space="preserve"> H</w:t>
      </w:r>
      <w:r w:rsidR="004D7634">
        <w:rPr>
          <w:rFonts w:ascii="Calibri" w:hAnsi="Calibri" w:cs="Calibri"/>
          <w:bCs/>
          <w:color w:val="002151"/>
          <w:w w:val="110"/>
          <w:kern w:val="20"/>
          <w:szCs w:val="20"/>
        </w:rPr>
        <w:t>owever</w:t>
      </w:r>
      <w:r w:rsidR="00E17DD3">
        <w:rPr>
          <w:rFonts w:ascii="Calibri" w:hAnsi="Calibri" w:cs="Calibri"/>
          <w:bCs/>
          <w:color w:val="002151"/>
          <w:w w:val="110"/>
          <w:kern w:val="20"/>
          <w:szCs w:val="20"/>
        </w:rPr>
        <w:t>,</w:t>
      </w:r>
      <w:r w:rsidR="004D7634">
        <w:rPr>
          <w:rFonts w:ascii="Calibri" w:hAnsi="Calibri" w:cs="Calibri"/>
          <w:bCs/>
          <w:color w:val="002151"/>
          <w:w w:val="110"/>
          <w:kern w:val="20"/>
          <w:szCs w:val="20"/>
        </w:rPr>
        <w:t xml:space="preserve"> we believe that more can be done to make the process more efficient to the benefit of issuers and </w:t>
      </w:r>
      <w:r w:rsidR="00E17DD3">
        <w:rPr>
          <w:rFonts w:ascii="Calibri" w:hAnsi="Calibri" w:cs="Calibri"/>
          <w:bCs/>
          <w:color w:val="002151"/>
          <w:w w:val="110"/>
          <w:kern w:val="20"/>
          <w:szCs w:val="20"/>
        </w:rPr>
        <w:t>shareholders</w:t>
      </w:r>
      <w:r w:rsidR="004D7634">
        <w:rPr>
          <w:rFonts w:ascii="Calibri" w:hAnsi="Calibri" w:cs="Calibri"/>
          <w:bCs/>
          <w:color w:val="002151"/>
          <w:w w:val="110"/>
          <w:kern w:val="20"/>
          <w:szCs w:val="20"/>
        </w:rPr>
        <w:t>.</w:t>
      </w:r>
    </w:p>
    <w:p w14:paraId="7F2CD9CD" w14:textId="10A77668" w:rsidR="00147D99" w:rsidRDefault="00136FB8" w:rsidP="0020190C">
      <w:pPr>
        <w:jc w:val="both"/>
        <w:rPr>
          <w:rFonts w:ascii="Calibri" w:hAnsi="Calibri" w:cs="Calibri"/>
          <w:bCs/>
          <w:color w:val="002151"/>
          <w:w w:val="110"/>
          <w:kern w:val="20"/>
          <w:szCs w:val="20"/>
        </w:rPr>
      </w:pPr>
      <w:r>
        <w:rPr>
          <w:rFonts w:ascii="Calibri" w:hAnsi="Calibri" w:cs="Calibri"/>
          <w:bCs/>
          <w:color w:val="002151"/>
          <w:w w:val="110"/>
          <w:kern w:val="20"/>
          <w:szCs w:val="20"/>
        </w:rPr>
        <w:t>For example,</w:t>
      </w:r>
      <w:r w:rsidR="002152D7" w:rsidRPr="0054119C">
        <w:rPr>
          <w:rFonts w:ascii="Calibri" w:hAnsi="Calibri" w:cs="Calibri"/>
          <w:color w:val="002151"/>
          <w:w w:val="110"/>
          <w:kern w:val="20"/>
          <w:szCs w:val="20"/>
        </w:rPr>
        <w:t xml:space="preserve"> we do not believe the current prospectus regulations </w:t>
      </w:r>
      <w:r w:rsidR="006C7307">
        <w:rPr>
          <w:rFonts w:ascii="Calibri" w:hAnsi="Calibri" w:cs="Calibri"/>
          <w:bCs/>
          <w:color w:val="002151"/>
          <w:w w:val="110"/>
          <w:kern w:val="20"/>
          <w:szCs w:val="20"/>
        </w:rPr>
        <w:t xml:space="preserve">are proportionate to </w:t>
      </w:r>
      <w:proofErr w:type="gramStart"/>
      <w:r w:rsidR="006C7307">
        <w:rPr>
          <w:rFonts w:ascii="Calibri" w:hAnsi="Calibri" w:cs="Calibri"/>
          <w:bCs/>
          <w:color w:val="002151"/>
          <w:w w:val="110"/>
          <w:kern w:val="20"/>
          <w:szCs w:val="20"/>
        </w:rPr>
        <w:t xml:space="preserve">the </w:t>
      </w:r>
      <w:r w:rsidR="00AC2346" w:rsidRPr="0054119C">
        <w:rPr>
          <w:rFonts w:ascii="Calibri" w:hAnsi="Calibri" w:cs="Calibri"/>
          <w:color w:val="002151"/>
          <w:w w:val="110"/>
          <w:kern w:val="20"/>
          <w:szCs w:val="20"/>
        </w:rPr>
        <w:t xml:space="preserve"> </w:t>
      </w:r>
      <w:r w:rsidR="00C51AD1" w:rsidRPr="00C51AD1">
        <w:rPr>
          <w:rFonts w:ascii="Calibri" w:hAnsi="Calibri" w:cs="Calibri"/>
          <w:bCs/>
          <w:color w:val="002151"/>
          <w:w w:val="110"/>
          <w:kern w:val="20"/>
          <w:szCs w:val="20"/>
        </w:rPr>
        <w:t>information</w:t>
      </w:r>
      <w:proofErr w:type="gramEnd"/>
      <w:r w:rsidR="00C51AD1" w:rsidRPr="00C51AD1">
        <w:rPr>
          <w:rFonts w:ascii="Calibri" w:hAnsi="Calibri" w:cs="Calibri"/>
          <w:bCs/>
          <w:color w:val="002151"/>
          <w:w w:val="110"/>
          <w:kern w:val="20"/>
          <w:szCs w:val="20"/>
        </w:rPr>
        <w:t xml:space="preserve"> needs</w:t>
      </w:r>
      <w:r w:rsidR="00AC2346" w:rsidRPr="0054119C">
        <w:rPr>
          <w:rFonts w:ascii="Calibri" w:hAnsi="Calibri" w:cs="Calibri"/>
          <w:color w:val="002151"/>
          <w:w w:val="110"/>
          <w:kern w:val="20"/>
          <w:szCs w:val="20"/>
        </w:rPr>
        <w:t xml:space="preserve"> of investors. </w:t>
      </w:r>
      <w:r w:rsidR="00E72359">
        <w:rPr>
          <w:rFonts w:ascii="Calibri" w:hAnsi="Calibri" w:cs="Calibri"/>
          <w:bCs/>
          <w:color w:val="002151"/>
          <w:w w:val="110"/>
          <w:kern w:val="20"/>
          <w:szCs w:val="20"/>
        </w:rPr>
        <w:t xml:space="preserve">Issuers should not be required to produce a </w:t>
      </w:r>
      <w:r w:rsidR="00E0319C">
        <w:rPr>
          <w:rFonts w:ascii="Calibri" w:hAnsi="Calibri" w:cs="Calibri"/>
          <w:bCs/>
          <w:color w:val="002151"/>
          <w:w w:val="110"/>
          <w:kern w:val="20"/>
          <w:szCs w:val="20"/>
        </w:rPr>
        <w:t>full prospectus</w:t>
      </w:r>
      <w:r w:rsidR="00E72359">
        <w:rPr>
          <w:rFonts w:ascii="Calibri" w:hAnsi="Calibri" w:cs="Calibri"/>
          <w:bCs/>
          <w:color w:val="002151"/>
          <w:w w:val="110"/>
          <w:kern w:val="20"/>
          <w:szCs w:val="20"/>
        </w:rPr>
        <w:t xml:space="preserve"> which is predominantly a duplication of information which is already publicly available. </w:t>
      </w:r>
      <w:r w:rsidR="005F1FCE">
        <w:rPr>
          <w:rFonts w:ascii="Calibri" w:hAnsi="Calibri" w:cs="Calibri"/>
          <w:bCs/>
          <w:color w:val="002151"/>
          <w:w w:val="110"/>
          <w:kern w:val="20"/>
          <w:szCs w:val="20"/>
        </w:rPr>
        <w:t xml:space="preserve">Instead, disclosure requirements in connection with a rights issue should focus on </w:t>
      </w:r>
      <w:r w:rsidR="006A11CD">
        <w:rPr>
          <w:rFonts w:ascii="Calibri" w:hAnsi="Calibri" w:cs="Calibri"/>
          <w:bCs/>
          <w:color w:val="002151"/>
          <w:w w:val="110"/>
          <w:kern w:val="20"/>
          <w:szCs w:val="20"/>
        </w:rPr>
        <w:t xml:space="preserve">new information that is material to shareholders considering how to exercise their entitlements. </w:t>
      </w:r>
      <w:r w:rsidR="003D0E56">
        <w:rPr>
          <w:rFonts w:ascii="Calibri" w:hAnsi="Calibri" w:cs="Calibri"/>
          <w:bCs/>
          <w:color w:val="002151"/>
          <w:w w:val="110"/>
          <w:kern w:val="20"/>
          <w:szCs w:val="20"/>
        </w:rPr>
        <w:t xml:space="preserve">In all cases, this would </w:t>
      </w:r>
      <w:r w:rsidR="00D34310">
        <w:rPr>
          <w:rFonts w:ascii="Calibri" w:hAnsi="Calibri" w:cs="Calibri"/>
          <w:bCs/>
          <w:color w:val="002151"/>
          <w:w w:val="110"/>
          <w:kern w:val="20"/>
          <w:szCs w:val="20"/>
        </w:rPr>
        <w:t>consist</w:t>
      </w:r>
      <w:r w:rsidR="003D0E56">
        <w:rPr>
          <w:rFonts w:ascii="Calibri" w:hAnsi="Calibri" w:cs="Calibri"/>
          <w:bCs/>
          <w:color w:val="002151"/>
          <w:w w:val="110"/>
          <w:kern w:val="20"/>
          <w:szCs w:val="20"/>
        </w:rPr>
        <w:t xml:space="preserve"> of a use of proceeds statement </w:t>
      </w:r>
      <w:r w:rsidR="00C03674">
        <w:rPr>
          <w:rFonts w:ascii="Calibri" w:hAnsi="Calibri" w:cs="Calibri"/>
          <w:bCs/>
          <w:color w:val="002151"/>
          <w:w w:val="110"/>
          <w:kern w:val="20"/>
          <w:szCs w:val="20"/>
        </w:rPr>
        <w:t xml:space="preserve">and an accompanying timetable. </w:t>
      </w:r>
      <w:r w:rsidR="00D34310">
        <w:rPr>
          <w:rFonts w:ascii="Calibri" w:hAnsi="Calibri" w:cs="Calibri"/>
          <w:bCs/>
          <w:color w:val="002151"/>
          <w:w w:val="110"/>
          <w:kern w:val="20"/>
          <w:szCs w:val="20"/>
        </w:rPr>
        <w:t>However, where rights issues</w:t>
      </w:r>
      <w:r w:rsidR="00375550">
        <w:rPr>
          <w:rFonts w:ascii="Calibri" w:hAnsi="Calibri" w:cs="Calibri"/>
          <w:bCs/>
          <w:color w:val="002151"/>
          <w:w w:val="110"/>
          <w:kern w:val="20"/>
          <w:szCs w:val="20"/>
        </w:rPr>
        <w:t xml:space="preserve"> were conducted in connection with a transaction or as an emergency</w:t>
      </w:r>
      <w:r w:rsidR="009D29FA">
        <w:rPr>
          <w:rFonts w:ascii="Calibri" w:hAnsi="Calibri" w:cs="Calibri"/>
          <w:bCs/>
          <w:color w:val="002151"/>
          <w:w w:val="110"/>
          <w:kern w:val="20"/>
          <w:szCs w:val="20"/>
        </w:rPr>
        <w:t xml:space="preserve"> raise to strengthen a compan</w:t>
      </w:r>
      <w:r w:rsidR="001D0B90">
        <w:rPr>
          <w:rFonts w:ascii="Calibri" w:hAnsi="Calibri" w:cs="Calibri"/>
          <w:bCs/>
          <w:color w:val="002151"/>
          <w:w w:val="110"/>
          <w:kern w:val="20"/>
          <w:szCs w:val="20"/>
        </w:rPr>
        <w:t>y’s</w:t>
      </w:r>
      <w:r w:rsidR="009D29FA">
        <w:rPr>
          <w:rFonts w:ascii="Calibri" w:hAnsi="Calibri" w:cs="Calibri"/>
          <w:bCs/>
          <w:color w:val="002151"/>
          <w:w w:val="110"/>
          <w:kern w:val="20"/>
          <w:szCs w:val="20"/>
        </w:rPr>
        <w:t xml:space="preserve"> balance sheet </w:t>
      </w:r>
      <w:r w:rsidR="001D0B90">
        <w:rPr>
          <w:rFonts w:ascii="Calibri" w:hAnsi="Calibri" w:cs="Calibri"/>
          <w:bCs/>
          <w:color w:val="002151"/>
          <w:w w:val="110"/>
          <w:kern w:val="20"/>
          <w:szCs w:val="20"/>
        </w:rPr>
        <w:t xml:space="preserve">more extensive disclosures </w:t>
      </w:r>
      <w:r w:rsidR="003E2241">
        <w:rPr>
          <w:rFonts w:ascii="Calibri" w:hAnsi="Calibri" w:cs="Calibri"/>
          <w:bCs/>
          <w:color w:val="002151"/>
          <w:w w:val="110"/>
          <w:kern w:val="20"/>
          <w:szCs w:val="20"/>
        </w:rPr>
        <w:t xml:space="preserve">should be required including a working capital statement. </w:t>
      </w:r>
    </w:p>
    <w:p w14:paraId="36382FB7" w14:textId="29468E35" w:rsidR="004A486F" w:rsidRPr="004A486F" w:rsidRDefault="004A486F" w:rsidP="0020190C">
      <w:pPr>
        <w:jc w:val="both"/>
        <w:rPr>
          <w:rFonts w:ascii="Calibri" w:hAnsi="Calibri" w:cs="Calibri"/>
          <w:bCs/>
          <w:color w:val="002151"/>
          <w:w w:val="110"/>
          <w:kern w:val="20"/>
          <w:szCs w:val="20"/>
        </w:rPr>
      </w:pPr>
      <w:r>
        <w:rPr>
          <w:rFonts w:ascii="Calibri" w:hAnsi="Calibri" w:cs="Calibri"/>
          <w:bCs/>
          <w:color w:val="002151"/>
          <w:w w:val="110"/>
          <w:kern w:val="20"/>
          <w:szCs w:val="20"/>
        </w:rPr>
        <w:t xml:space="preserve">Whilst the IA believes that both the rights offer duration and requirements for shareholder approval should </w:t>
      </w:r>
      <w:proofErr w:type="gramStart"/>
      <w:r>
        <w:rPr>
          <w:rFonts w:ascii="Calibri" w:hAnsi="Calibri" w:cs="Calibri"/>
          <w:bCs/>
          <w:color w:val="002151"/>
          <w:w w:val="110"/>
          <w:kern w:val="20"/>
          <w:szCs w:val="20"/>
        </w:rPr>
        <w:t>remain</w:t>
      </w:r>
      <w:proofErr w:type="gramEnd"/>
      <w:r>
        <w:rPr>
          <w:rFonts w:ascii="Calibri" w:hAnsi="Calibri" w:cs="Calibri"/>
          <w:bCs/>
          <w:color w:val="002151"/>
          <w:w w:val="110"/>
          <w:kern w:val="20"/>
          <w:szCs w:val="20"/>
        </w:rPr>
        <w:t xml:space="preserve"> we do believe that the review should consider and examine further w</w:t>
      </w:r>
      <w:r w:rsidR="0020190C">
        <w:rPr>
          <w:rFonts w:ascii="Calibri" w:hAnsi="Calibri" w:cs="Calibri"/>
          <w:bCs/>
          <w:color w:val="002151"/>
          <w:w w:val="110"/>
          <w:kern w:val="20"/>
          <w:szCs w:val="20"/>
        </w:rPr>
        <w:t>h</w:t>
      </w:r>
      <w:r>
        <w:rPr>
          <w:rFonts w:ascii="Calibri" w:hAnsi="Calibri" w:cs="Calibri"/>
          <w:bCs/>
          <w:color w:val="002151"/>
          <w:w w:val="110"/>
          <w:kern w:val="20"/>
          <w:szCs w:val="20"/>
        </w:rPr>
        <w:t xml:space="preserve">ether the rights offer period could take place on a contingent basis that runs consecutively with the notice period for a GM </w:t>
      </w:r>
      <w:r w:rsidR="0020190C">
        <w:rPr>
          <w:rFonts w:ascii="Calibri" w:hAnsi="Calibri" w:cs="Calibri"/>
          <w:bCs/>
          <w:color w:val="002151"/>
          <w:w w:val="110"/>
          <w:kern w:val="20"/>
          <w:szCs w:val="20"/>
        </w:rPr>
        <w:t>to approve the rights issue</w:t>
      </w:r>
      <w:r w:rsidR="008F6BCF">
        <w:rPr>
          <w:rFonts w:ascii="Calibri" w:hAnsi="Calibri" w:cs="Calibri"/>
          <w:bCs/>
          <w:color w:val="002151"/>
          <w:w w:val="110"/>
          <w:kern w:val="20"/>
          <w:szCs w:val="20"/>
        </w:rPr>
        <w:t>/allotment of shares</w:t>
      </w:r>
      <w:r w:rsidR="0020190C">
        <w:rPr>
          <w:rFonts w:ascii="Calibri" w:hAnsi="Calibri" w:cs="Calibri"/>
          <w:bCs/>
          <w:color w:val="002151"/>
          <w:w w:val="110"/>
          <w:kern w:val="20"/>
          <w:szCs w:val="20"/>
        </w:rPr>
        <w:t xml:space="preserve">. The traded rights would therefore only be affected when shareholder approval is gained. This would reduce the duration of the rights issue process by at least 14 days. </w:t>
      </w:r>
    </w:p>
    <w:p w14:paraId="42219619" w14:textId="3B940E1E" w:rsidR="00491312" w:rsidRPr="0054119C" w:rsidRDefault="00491312" w:rsidP="006A76BB">
      <w:pPr>
        <w:pStyle w:val="ListParagraph"/>
        <w:rPr>
          <w:rFonts w:cs="Calibri"/>
          <w:b/>
        </w:rPr>
      </w:pPr>
    </w:p>
    <w:p w14:paraId="4148CF78" w14:textId="647D9DF4" w:rsidR="00A71952" w:rsidRPr="00582B6E" w:rsidRDefault="0020190C" w:rsidP="00582B6E">
      <w:pPr>
        <w:pStyle w:val="ListParagraph"/>
        <w:numPr>
          <w:ilvl w:val="0"/>
          <w:numId w:val="6"/>
        </w:numPr>
        <w:rPr>
          <w:rFonts w:cs="Calibri"/>
          <w:b/>
        </w:rPr>
      </w:pPr>
      <w:r w:rsidRPr="00582B6E">
        <w:rPr>
          <w:rFonts w:cs="Calibri"/>
          <w:b/>
          <w:highlight w:val="yellow"/>
        </w:rPr>
        <w:t>We welcome member feedback on contingent rights trading</w:t>
      </w:r>
    </w:p>
    <w:p w14:paraId="3E12E48F" w14:textId="77777777" w:rsidR="002D2FFD" w:rsidRPr="0062156C" w:rsidRDefault="002D2FFD" w:rsidP="002D2FFD">
      <w:pPr>
        <w:pStyle w:val="ListParagraph"/>
        <w:rPr>
          <w:rFonts w:cs="Calibri"/>
          <w:b/>
        </w:rPr>
      </w:pPr>
    </w:p>
    <w:p w14:paraId="2363CE4D" w14:textId="5CF0F715" w:rsidR="00AC3640" w:rsidRDefault="002D2FFD" w:rsidP="00AC3640">
      <w:pPr>
        <w:pStyle w:val="ListParagraph"/>
        <w:numPr>
          <w:ilvl w:val="0"/>
          <w:numId w:val="2"/>
        </w:numPr>
        <w:rPr>
          <w:rFonts w:cs="Calibri"/>
          <w:b/>
        </w:rPr>
      </w:pPr>
      <w:r w:rsidRPr="0020190C">
        <w:rPr>
          <w:rFonts w:cs="Calibri"/>
          <w:b/>
        </w:rPr>
        <w:t>Should new technology be used in the process to ensure that shareholders receive relevant information in a timely fashion and are able to exercise their rights and, if so, how?</w:t>
      </w:r>
    </w:p>
    <w:p w14:paraId="0A7236A1" w14:textId="77777777" w:rsidR="00166316" w:rsidRDefault="00166316" w:rsidP="00166316">
      <w:pPr>
        <w:rPr>
          <w:rFonts w:ascii="Calibri" w:hAnsi="Calibri" w:cs="Calibri"/>
          <w:bCs/>
          <w:color w:val="002151"/>
          <w:w w:val="110"/>
          <w:kern w:val="20"/>
          <w:szCs w:val="20"/>
        </w:rPr>
      </w:pPr>
    </w:p>
    <w:p w14:paraId="7B41FDE9" w14:textId="47F42D4E" w:rsidR="00AC3640" w:rsidRPr="00166316" w:rsidRDefault="00166316" w:rsidP="006A76BB">
      <w:pPr>
        <w:rPr>
          <w:rFonts w:ascii="Calibri" w:hAnsi="Calibri" w:cs="Calibri"/>
          <w:bCs/>
          <w:color w:val="002151"/>
          <w:w w:val="110"/>
          <w:kern w:val="20"/>
          <w:szCs w:val="20"/>
        </w:rPr>
      </w:pPr>
      <w:r>
        <w:rPr>
          <w:rFonts w:ascii="Calibri" w:hAnsi="Calibri" w:cs="Calibri"/>
          <w:bCs/>
          <w:color w:val="002151"/>
          <w:w w:val="110"/>
          <w:kern w:val="20"/>
          <w:szCs w:val="20"/>
        </w:rPr>
        <w:t xml:space="preserve">Issuers should be allowed to make the </w:t>
      </w:r>
      <w:r w:rsidR="006A76BB">
        <w:rPr>
          <w:rFonts w:ascii="Calibri" w:hAnsi="Calibri" w:cs="Calibri"/>
          <w:bCs/>
          <w:color w:val="002151"/>
          <w:w w:val="110"/>
          <w:kern w:val="20"/>
          <w:szCs w:val="20"/>
        </w:rPr>
        <w:t xml:space="preserve">best use of the technological advances </w:t>
      </w:r>
      <w:r w:rsidR="00AC3640" w:rsidRPr="00166316">
        <w:rPr>
          <w:rFonts w:ascii="Calibri" w:hAnsi="Calibri" w:cs="Calibri"/>
          <w:bCs/>
          <w:color w:val="002151"/>
          <w:w w:val="110"/>
          <w:kern w:val="20"/>
          <w:szCs w:val="20"/>
        </w:rPr>
        <w:t xml:space="preserve">and capabilities available to ensure that the rights issue process works as efficiently and quickly as possible ensuring that all shareholders represented on a company’s register are able to participate, whilst reducing as far as is possible the administrative burden on issuers. </w:t>
      </w:r>
    </w:p>
    <w:p w14:paraId="2131D2C2" w14:textId="77777777" w:rsidR="003F5FF6" w:rsidRPr="003372D9" w:rsidRDefault="003F5FF6" w:rsidP="003F5FF6">
      <w:pPr>
        <w:pStyle w:val="ListParagraph"/>
        <w:rPr>
          <w:rFonts w:cs="Calibri"/>
          <w:b/>
        </w:rPr>
      </w:pPr>
    </w:p>
    <w:p w14:paraId="6401A008" w14:textId="40C35AC6" w:rsidR="000258F8" w:rsidRDefault="002D2FFD" w:rsidP="002D2FFD">
      <w:pPr>
        <w:pStyle w:val="ListParagraph"/>
        <w:numPr>
          <w:ilvl w:val="0"/>
          <w:numId w:val="2"/>
        </w:numPr>
        <w:rPr>
          <w:rFonts w:cs="Calibri"/>
          <w:b/>
        </w:rPr>
      </w:pPr>
      <w:r w:rsidRPr="0062156C">
        <w:rPr>
          <w:rFonts w:cs="Calibri"/>
          <w:b/>
        </w:rPr>
        <w:t xml:space="preserve">Are there fund-raising models in other jurisdictions that should be considered for use in the UK? For example, the use of cleansing notices in lieu of prospectuses on secondary capital raisings in Australia </w:t>
      </w:r>
      <w:proofErr w:type="gramStart"/>
      <w:r w:rsidRPr="0062156C">
        <w:rPr>
          <w:rFonts w:cs="Calibri"/>
          <w:b/>
        </w:rPr>
        <w:t>and also</w:t>
      </w:r>
      <w:proofErr w:type="gramEnd"/>
      <w:r w:rsidRPr="0062156C">
        <w:rPr>
          <w:rFonts w:cs="Calibri"/>
          <w:b/>
        </w:rPr>
        <w:t xml:space="preserve"> the Australian, AREO (or RAPIDS), SAREO and PAITREO structures?</w:t>
      </w:r>
    </w:p>
    <w:p w14:paraId="217E3EAA" w14:textId="77777777" w:rsidR="00582B6E" w:rsidRPr="00582B6E" w:rsidRDefault="00582B6E" w:rsidP="00582B6E">
      <w:pPr>
        <w:pStyle w:val="ListParagraph"/>
        <w:rPr>
          <w:rFonts w:cs="Calibri"/>
          <w:b/>
        </w:rPr>
      </w:pPr>
    </w:p>
    <w:p w14:paraId="5DAB3BAD" w14:textId="32DD8FD6" w:rsidR="002D2FFD" w:rsidRPr="0054119C" w:rsidRDefault="000258F8" w:rsidP="002D2FFD">
      <w:pPr>
        <w:rPr>
          <w:rFonts w:ascii="Calibri" w:hAnsi="Calibri" w:cs="Calibri"/>
          <w:i/>
          <w:color w:val="002151"/>
          <w:w w:val="110"/>
          <w:kern w:val="20"/>
          <w:szCs w:val="20"/>
        </w:rPr>
      </w:pPr>
      <w:r w:rsidRPr="0054119C">
        <w:rPr>
          <w:rFonts w:ascii="Calibri" w:hAnsi="Calibri" w:cs="Calibri"/>
          <w:b/>
          <w:i/>
          <w:color w:val="002151"/>
          <w:w w:val="110"/>
          <w:kern w:val="20"/>
          <w:szCs w:val="20"/>
        </w:rPr>
        <w:t xml:space="preserve">Cleansing Notices in </w:t>
      </w:r>
      <w:r w:rsidR="00F01C6F" w:rsidRPr="0054119C">
        <w:rPr>
          <w:rFonts w:ascii="Calibri" w:hAnsi="Calibri" w:cs="Calibri"/>
          <w:b/>
          <w:i/>
          <w:color w:val="002151"/>
          <w:w w:val="110"/>
          <w:kern w:val="20"/>
          <w:szCs w:val="20"/>
        </w:rPr>
        <w:t>l</w:t>
      </w:r>
      <w:r w:rsidRPr="0054119C">
        <w:rPr>
          <w:rFonts w:ascii="Calibri" w:hAnsi="Calibri" w:cs="Calibri"/>
          <w:b/>
          <w:i/>
          <w:color w:val="002151"/>
          <w:w w:val="110"/>
          <w:kern w:val="20"/>
          <w:szCs w:val="20"/>
        </w:rPr>
        <w:t>ieu of Prospectuses</w:t>
      </w:r>
      <w:r w:rsidRPr="0054119C">
        <w:rPr>
          <w:rFonts w:ascii="Calibri" w:hAnsi="Calibri" w:cs="Calibri"/>
          <w:i/>
          <w:color w:val="002151"/>
          <w:w w:val="110"/>
          <w:kern w:val="20"/>
          <w:szCs w:val="20"/>
        </w:rPr>
        <w:t xml:space="preserve"> – Cleansing Notices are statements released by issuers that informs the market of any information that is material to the value of the traded securities that have not been disclosed, or that </w:t>
      </w:r>
      <w:r w:rsidR="004C04D5" w:rsidRPr="0054119C">
        <w:rPr>
          <w:rFonts w:ascii="Calibri" w:hAnsi="Calibri" w:cs="Calibri"/>
          <w:i/>
          <w:color w:val="002151"/>
          <w:w w:val="110"/>
          <w:kern w:val="20"/>
          <w:szCs w:val="20"/>
        </w:rPr>
        <w:t xml:space="preserve">confirms that there is no such information. </w:t>
      </w:r>
    </w:p>
    <w:p w14:paraId="0AEBE532" w14:textId="2CC32445" w:rsidR="004C04D5" w:rsidRPr="0054119C" w:rsidRDefault="004C04D5" w:rsidP="002D2FFD">
      <w:pPr>
        <w:rPr>
          <w:rFonts w:ascii="Calibri" w:hAnsi="Calibri" w:cs="Calibri"/>
          <w:i/>
          <w:color w:val="002151"/>
          <w:w w:val="110"/>
          <w:kern w:val="20"/>
          <w:szCs w:val="20"/>
        </w:rPr>
      </w:pPr>
      <w:r w:rsidRPr="0054119C">
        <w:rPr>
          <w:rFonts w:ascii="Calibri" w:hAnsi="Calibri" w:cs="Calibri"/>
          <w:i/>
          <w:color w:val="002151"/>
          <w:w w:val="110"/>
          <w:kern w:val="20"/>
          <w:szCs w:val="20"/>
        </w:rPr>
        <w:t xml:space="preserve">They are prominently used on the ASX where they inform market participants that issuers have been and continue to </w:t>
      </w:r>
      <w:proofErr w:type="gramStart"/>
      <w:r w:rsidRPr="0054119C">
        <w:rPr>
          <w:rFonts w:ascii="Calibri" w:hAnsi="Calibri" w:cs="Calibri"/>
          <w:i/>
          <w:color w:val="002151"/>
          <w:w w:val="110"/>
          <w:kern w:val="20"/>
          <w:szCs w:val="20"/>
        </w:rPr>
        <w:t>be in compliance with</w:t>
      </w:r>
      <w:proofErr w:type="gramEnd"/>
      <w:r w:rsidRPr="0054119C">
        <w:rPr>
          <w:rFonts w:ascii="Calibri" w:hAnsi="Calibri" w:cs="Calibri"/>
          <w:i/>
          <w:color w:val="002151"/>
          <w:w w:val="110"/>
          <w:kern w:val="20"/>
          <w:szCs w:val="20"/>
        </w:rPr>
        <w:t xml:space="preserve"> disclosure obligations and so facilitate an issue of securities without the need for a prospectus.</w:t>
      </w:r>
    </w:p>
    <w:p w14:paraId="2A532EB5" w14:textId="4D87CAD6" w:rsidR="00A908A6" w:rsidRDefault="005867A4" w:rsidP="009133FC">
      <w:pPr>
        <w:rPr>
          <w:rFonts w:ascii="Calibri" w:hAnsi="Calibri" w:cs="Calibri"/>
          <w:bCs/>
          <w:color w:val="002151"/>
          <w:w w:val="110"/>
          <w:kern w:val="20"/>
          <w:szCs w:val="20"/>
        </w:rPr>
      </w:pPr>
      <w:r>
        <w:rPr>
          <w:rFonts w:ascii="Calibri" w:hAnsi="Calibri" w:cs="Calibri"/>
          <w:bCs/>
          <w:color w:val="002151"/>
          <w:w w:val="110"/>
          <w:kern w:val="20"/>
          <w:szCs w:val="20"/>
        </w:rPr>
        <w:t xml:space="preserve">As mentioned in response to question 1 above, we believe that the current prospectus regulations </w:t>
      </w:r>
      <w:r w:rsidR="00A908A6">
        <w:rPr>
          <w:rFonts w:ascii="Calibri" w:hAnsi="Calibri" w:cs="Calibri"/>
          <w:bCs/>
          <w:color w:val="002151"/>
          <w:w w:val="110"/>
          <w:kern w:val="20"/>
          <w:szCs w:val="20"/>
        </w:rPr>
        <w:t xml:space="preserve">are a barrier to </w:t>
      </w:r>
      <w:r w:rsidR="009133FC">
        <w:rPr>
          <w:rFonts w:ascii="Calibri" w:hAnsi="Calibri" w:cs="Calibri"/>
          <w:bCs/>
          <w:color w:val="002151"/>
          <w:w w:val="110"/>
          <w:kern w:val="20"/>
          <w:szCs w:val="20"/>
        </w:rPr>
        <w:t>conducting a rights issue</w:t>
      </w:r>
      <w:r w:rsidR="005B1775">
        <w:rPr>
          <w:rFonts w:ascii="Calibri" w:hAnsi="Calibri" w:cs="Calibri"/>
          <w:bCs/>
          <w:color w:val="002151"/>
          <w:w w:val="110"/>
          <w:kern w:val="20"/>
          <w:szCs w:val="20"/>
        </w:rPr>
        <w:t xml:space="preserve"> efficiently</w:t>
      </w:r>
      <w:r w:rsidR="009133FC">
        <w:rPr>
          <w:rFonts w:ascii="Calibri" w:hAnsi="Calibri" w:cs="Calibri"/>
          <w:bCs/>
          <w:color w:val="002151"/>
          <w:w w:val="110"/>
          <w:kern w:val="20"/>
          <w:szCs w:val="20"/>
        </w:rPr>
        <w:t>. W</w:t>
      </w:r>
      <w:r w:rsidR="009133FC" w:rsidRPr="009133FC">
        <w:rPr>
          <w:rFonts w:ascii="Calibri" w:hAnsi="Calibri" w:cs="Calibri"/>
          <w:bCs/>
          <w:color w:val="002151"/>
          <w:w w:val="110"/>
          <w:kern w:val="20"/>
          <w:szCs w:val="20"/>
        </w:rPr>
        <w:t>hilst investors want to have sufficient information to make</w:t>
      </w:r>
      <w:r w:rsidR="009133FC">
        <w:rPr>
          <w:rFonts w:ascii="Calibri" w:hAnsi="Calibri" w:cs="Calibri"/>
          <w:bCs/>
          <w:color w:val="002151"/>
          <w:w w:val="110"/>
          <w:kern w:val="20"/>
          <w:szCs w:val="20"/>
        </w:rPr>
        <w:t xml:space="preserve"> </w:t>
      </w:r>
      <w:r w:rsidR="009133FC" w:rsidRPr="009133FC">
        <w:rPr>
          <w:rFonts w:ascii="Calibri" w:hAnsi="Calibri" w:cs="Calibri"/>
          <w:bCs/>
          <w:color w:val="002151"/>
          <w:w w:val="110"/>
          <w:kern w:val="20"/>
          <w:szCs w:val="20"/>
        </w:rPr>
        <w:t>informed investing decisions, existing holders of securities will already be familiar with the</w:t>
      </w:r>
      <w:r w:rsidR="009133FC">
        <w:rPr>
          <w:rFonts w:ascii="Calibri" w:hAnsi="Calibri" w:cs="Calibri"/>
          <w:bCs/>
          <w:color w:val="002151"/>
          <w:w w:val="110"/>
          <w:kern w:val="20"/>
          <w:szCs w:val="20"/>
        </w:rPr>
        <w:t xml:space="preserve"> </w:t>
      </w:r>
      <w:r w:rsidR="009133FC" w:rsidRPr="009133FC">
        <w:rPr>
          <w:rFonts w:ascii="Calibri" w:hAnsi="Calibri" w:cs="Calibri"/>
          <w:bCs/>
          <w:color w:val="002151"/>
          <w:w w:val="110"/>
          <w:kern w:val="20"/>
          <w:szCs w:val="20"/>
        </w:rPr>
        <w:t xml:space="preserve">issuer, and a full prospectus </w:t>
      </w:r>
      <w:r w:rsidR="009133FC">
        <w:rPr>
          <w:rFonts w:ascii="Calibri" w:hAnsi="Calibri" w:cs="Calibri"/>
          <w:bCs/>
          <w:color w:val="002151"/>
          <w:w w:val="110"/>
          <w:kern w:val="20"/>
          <w:szCs w:val="20"/>
        </w:rPr>
        <w:t>adds little relevant information.</w:t>
      </w:r>
      <w:r w:rsidR="009133FC" w:rsidRPr="009133FC">
        <w:rPr>
          <w:rFonts w:ascii="Calibri" w:hAnsi="Calibri" w:cs="Calibri"/>
          <w:bCs/>
          <w:color w:val="002151"/>
          <w:w w:val="110"/>
          <w:kern w:val="20"/>
          <w:szCs w:val="20"/>
        </w:rPr>
        <w:t xml:space="preserve"> In the context of a rights issue the cost</w:t>
      </w:r>
      <w:r w:rsidR="009133FC">
        <w:rPr>
          <w:rFonts w:ascii="Calibri" w:hAnsi="Calibri" w:cs="Calibri"/>
          <w:bCs/>
          <w:color w:val="002151"/>
          <w:w w:val="110"/>
          <w:kern w:val="20"/>
          <w:szCs w:val="20"/>
        </w:rPr>
        <w:t xml:space="preserve"> </w:t>
      </w:r>
      <w:r w:rsidR="009133FC" w:rsidRPr="009133FC">
        <w:rPr>
          <w:rFonts w:ascii="Calibri" w:hAnsi="Calibri" w:cs="Calibri"/>
          <w:bCs/>
          <w:color w:val="002151"/>
          <w:w w:val="110"/>
          <w:kern w:val="20"/>
          <w:szCs w:val="20"/>
        </w:rPr>
        <w:t>and time burden of prospectus disclosure requirements is disproportionate with the</w:t>
      </w:r>
      <w:r w:rsidR="009133FC">
        <w:rPr>
          <w:rFonts w:ascii="Calibri" w:hAnsi="Calibri" w:cs="Calibri"/>
          <w:bCs/>
          <w:color w:val="002151"/>
          <w:w w:val="110"/>
          <w:kern w:val="20"/>
          <w:szCs w:val="20"/>
        </w:rPr>
        <w:t xml:space="preserve"> </w:t>
      </w:r>
      <w:r w:rsidR="009133FC" w:rsidRPr="009133FC">
        <w:rPr>
          <w:rFonts w:ascii="Calibri" w:hAnsi="Calibri" w:cs="Calibri"/>
          <w:bCs/>
          <w:color w:val="002151"/>
          <w:w w:val="110"/>
          <w:kern w:val="20"/>
          <w:szCs w:val="20"/>
        </w:rPr>
        <w:t>marginal value of the disclosures within.</w:t>
      </w:r>
    </w:p>
    <w:p w14:paraId="01602A4E" w14:textId="53C2AF96" w:rsidR="008056A1" w:rsidRDefault="00144211" w:rsidP="002D2FFD">
      <w:pPr>
        <w:rPr>
          <w:rFonts w:ascii="Calibri" w:hAnsi="Calibri" w:cs="Calibri"/>
          <w:bCs/>
          <w:color w:val="002151"/>
          <w:w w:val="110"/>
          <w:kern w:val="20"/>
          <w:szCs w:val="20"/>
        </w:rPr>
      </w:pPr>
      <w:r>
        <w:rPr>
          <w:rFonts w:ascii="Calibri" w:hAnsi="Calibri" w:cs="Calibri"/>
          <w:bCs/>
          <w:color w:val="002151"/>
          <w:w w:val="110"/>
          <w:kern w:val="20"/>
          <w:szCs w:val="20"/>
        </w:rPr>
        <w:t>The ability for issuers to produce a</w:t>
      </w:r>
      <w:r w:rsidR="0025576A">
        <w:rPr>
          <w:rFonts w:ascii="Calibri" w:hAnsi="Calibri" w:cs="Calibri"/>
          <w:bCs/>
          <w:color w:val="002151"/>
          <w:w w:val="110"/>
          <w:kern w:val="20"/>
          <w:szCs w:val="20"/>
        </w:rPr>
        <w:t>n</w:t>
      </w:r>
      <w:r w:rsidR="002F1F0C">
        <w:rPr>
          <w:rFonts w:ascii="Calibri" w:hAnsi="Calibri" w:cs="Calibri"/>
          <w:bCs/>
          <w:color w:val="002151"/>
          <w:w w:val="110"/>
          <w:kern w:val="20"/>
          <w:szCs w:val="20"/>
        </w:rPr>
        <w:t xml:space="preserve"> offering document </w:t>
      </w:r>
      <w:r w:rsidR="009709DC">
        <w:rPr>
          <w:rFonts w:ascii="Calibri" w:hAnsi="Calibri" w:cs="Calibri"/>
          <w:bCs/>
          <w:color w:val="002151"/>
          <w:w w:val="110"/>
          <w:kern w:val="20"/>
          <w:szCs w:val="20"/>
        </w:rPr>
        <w:t>such as</w:t>
      </w:r>
      <w:r w:rsidR="002F1F0C">
        <w:rPr>
          <w:rFonts w:ascii="Calibri" w:hAnsi="Calibri" w:cs="Calibri"/>
          <w:bCs/>
          <w:color w:val="002151"/>
          <w:w w:val="110"/>
          <w:kern w:val="20"/>
          <w:szCs w:val="20"/>
        </w:rPr>
        <w:t xml:space="preserve"> the Australian ‘Cleansing Notice’ </w:t>
      </w:r>
      <w:r w:rsidR="00842D5C">
        <w:rPr>
          <w:rFonts w:ascii="Calibri" w:hAnsi="Calibri" w:cs="Calibri"/>
          <w:bCs/>
          <w:color w:val="002151"/>
          <w:w w:val="110"/>
          <w:kern w:val="20"/>
          <w:szCs w:val="20"/>
        </w:rPr>
        <w:t>s</w:t>
      </w:r>
      <w:r w:rsidR="0025576A">
        <w:rPr>
          <w:rFonts w:ascii="Calibri" w:hAnsi="Calibri" w:cs="Calibri"/>
          <w:bCs/>
          <w:color w:val="002151"/>
          <w:w w:val="110"/>
          <w:kern w:val="20"/>
          <w:szCs w:val="20"/>
        </w:rPr>
        <w:t>hould provide a suitable alternative</w:t>
      </w:r>
      <w:r w:rsidR="00D8643C">
        <w:rPr>
          <w:rFonts w:ascii="Calibri" w:hAnsi="Calibri" w:cs="Calibri"/>
          <w:bCs/>
          <w:color w:val="002151"/>
          <w:w w:val="110"/>
          <w:kern w:val="20"/>
          <w:szCs w:val="20"/>
        </w:rPr>
        <w:t xml:space="preserve"> to producing a prospectus that only duplicates already publicly available information</w:t>
      </w:r>
      <w:r w:rsidR="0025576A">
        <w:rPr>
          <w:rFonts w:ascii="Calibri" w:hAnsi="Calibri" w:cs="Calibri"/>
          <w:bCs/>
          <w:color w:val="002151"/>
          <w:w w:val="110"/>
          <w:kern w:val="20"/>
          <w:szCs w:val="20"/>
        </w:rPr>
        <w:t xml:space="preserve">. </w:t>
      </w:r>
    </w:p>
    <w:p w14:paraId="3396F5C8" w14:textId="15C6DBAC" w:rsidR="00404B1B" w:rsidRPr="00404B1B" w:rsidRDefault="001539E7" w:rsidP="00404B1B">
      <w:pPr>
        <w:rPr>
          <w:rFonts w:ascii="Calibri" w:hAnsi="Calibri" w:cs="Calibri"/>
          <w:bCs/>
          <w:color w:val="002151"/>
          <w:w w:val="110"/>
          <w:kern w:val="20"/>
          <w:szCs w:val="20"/>
        </w:rPr>
      </w:pPr>
      <w:r>
        <w:rPr>
          <w:rFonts w:ascii="Calibri" w:hAnsi="Calibri" w:cs="Calibri"/>
          <w:bCs/>
          <w:color w:val="002151"/>
          <w:w w:val="110"/>
          <w:kern w:val="20"/>
          <w:szCs w:val="20"/>
        </w:rPr>
        <w:t>Where a rights issue is held in connection with a class 1 transaction or</w:t>
      </w:r>
      <w:r w:rsidR="009477A0">
        <w:rPr>
          <w:rFonts w:ascii="Calibri" w:hAnsi="Calibri" w:cs="Calibri"/>
          <w:bCs/>
          <w:color w:val="002151"/>
          <w:w w:val="110"/>
          <w:kern w:val="20"/>
          <w:szCs w:val="20"/>
        </w:rPr>
        <w:t xml:space="preserve"> to provide emergency funds to strengthen a </w:t>
      </w:r>
      <w:r w:rsidR="008F5004">
        <w:rPr>
          <w:rFonts w:ascii="Calibri" w:hAnsi="Calibri" w:cs="Calibri"/>
          <w:bCs/>
          <w:color w:val="002151"/>
          <w:w w:val="110"/>
          <w:kern w:val="20"/>
          <w:szCs w:val="20"/>
        </w:rPr>
        <w:t>company’s balance sheet</w:t>
      </w:r>
      <w:r w:rsidR="009477A0">
        <w:rPr>
          <w:rFonts w:ascii="Calibri" w:hAnsi="Calibri" w:cs="Calibri"/>
          <w:bCs/>
          <w:color w:val="002151"/>
          <w:w w:val="110"/>
          <w:kern w:val="20"/>
          <w:szCs w:val="20"/>
        </w:rPr>
        <w:t xml:space="preserve">, </w:t>
      </w:r>
      <w:r w:rsidR="00E97DE5">
        <w:rPr>
          <w:rFonts w:ascii="Calibri" w:hAnsi="Calibri" w:cs="Calibri"/>
          <w:bCs/>
          <w:color w:val="002151"/>
          <w:w w:val="110"/>
          <w:kern w:val="20"/>
          <w:szCs w:val="20"/>
        </w:rPr>
        <w:t xml:space="preserve">there will be a range of relevant information that is material to the value of securities that the </w:t>
      </w:r>
      <w:r w:rsidR="00896C84">
        <w:rPr>
          <w:rFonts w:ascii="Calibri" w:hAnsi="Calibri" w:cs="Calibri"/>
          <w:bCs/>
          <w:color w:val="002151"/>
          <w:w w:val="110"/>
          <w:kern w:val="20"/>
          <w:szCs w:val="20"/>
        </w:rPr>
        <w:t xml:space="preserve">shareholders will need access to, </w:t>
      </w:r>
      <w:r w:rsidR="00B94811">
        <w:rPr>
          <w:rFonts w:ascii="Calibri" w:hAnsi="Calibri" w:cs="Calibri"/>
          <w:bCs/>
          <w:color w:val="002151"/>
          <w:w w:val="110"/>
          <w:kern w:val="20"/>
          <w:szCs w:val="20"/>
        </w:rPr>
        <w:t>to ensure th</w:t>
      </w:r>
      <w:r w:rsidR="00896C84">
        <w:rPr>
          <w:rFonts w:ascii="Calibri" w:hAnsi="Calibri" w:cs="Calibri"/>
          <w:bCs/>
          <w:color w:val="002151"/>
          <w:w w:val="110"/>
          <w:kern w:val="20"/>
          <w:szCs w:val="20"/>
        </w:rPr>
        <w:t xml:space="preserve">ey </w:t>
      </w:r>
      <w:r w:rsidR="00B94811">
        <w:rPr>
          <w:rFonts w:ascii="Calibri" w:hAnsi="Calibri" w:cs="Calibri"/>
          <w:bCs/>
          <w:color w:val="002151"/>
          <w:w w:val="110"/>
          <w:kern w:val="20"/>
          <w:szCs w:val="20"/>
        </w:rPr>
        <w:t xml:space="preserve">are able to make a </w:t>
      </w:r>
      <w:proofErr w:type="gramStart"/>
      <w:r w:rsidR="00B94811">
        <w:rPr>
          <w:rFonts w:ascii="Calibri" w:hAnsi="Calibri" w:cs="Calibri"/>
          <w:bCs/>
          <w:color w:val="002151"/>
          <w:w w:val="110"/>
          <w:kern w:val="20"/>
          <w:szCs w:val="20"/>
        </w:rPr>
        <w:t>fully-informed</w:t>
      </w:r>
      <w:proofErr w:type="gramEnd"/>
      <w:r w:rsidR="00B94811">
        <w:rPr>
          <w:rFonts w:ascii="Calibri" w:hAnsi="Calibri" w:cs="Calibri"/>
          <w:bCs/>
          <w:color w:val="002151"/>
          <w:w w:val="110"/>
          <w:kern w:val="20"/>
          <w:szCs w:val="20"/>
        </w:rPr>
        <w:t xml:space="preserve"> rights trading </w:t>
      </w:r>
      <w:r w:rsidR="00DB70EE">
        <w:rPr>
          <w:rFonts w:ascii="Calibri" w:hAnsi="Calibri" w:cs="Calibri"/>
          <w:bCs/>
          <w:color w:val="002151"/>
          <w:w w:val="110"/>
          <w:kern w:val="20"/>
          <w:szCs w:val="20"/>
        </w:rPr>
        <w:t>decision.</w:t>
      </w:r>
      <w:r w:rsidR="00A16EA8">
        <w:rPr>
          <w:rFonts w:ascii="Calibri" w:hAnsi="Calibri" w:cs="Calibri"/>
          <w:bCs/>
          <w:color w:val="002151"/>
          <w:w w:val="110"/>
          <w:kern w:val="20"/>
          <w:szCs w:val="20"/>
        </w:rPr>
        <w:t xml:space="preserve"> </w:t>
      </w:r>
      <w:r w:rsidR="00896C84">
        <w:rPr>
          <w:rFonts w:ascii="Calibri" w:hAnsi="Calibri" w:cs="Calibri"/>
          <w:bCs/>
          <w:color w:val="002151"/>
          <w:w w:val="110"/>
          <w:kern w:val="20"/>
          <w:szCs w:val="20"/>
        </w:rPr>
        <w:t xml:space="preserve">However, </w:t>
      </w:r>
      <w:r w:rsidR="00955833">
        <w:rPr>
          <w:rFonts w:ascii="Calibri" w:hAnsi="Calibri" w:cs="Calibri"/>
          <w:bCs/>
          <w:color w:val="002151"/>
          <w:w w:val="110"/>
          <w:kern w:val="20"/>
          <w:szCs w:val="20"/>
        </w:rPr>
        <w:t>a significant portion of this material will already be publicly available and known to shareholders. A ‘clean</w:t>
      </w:r>
      <w:r w:rsidR="00B82214">
        <w:rPr>
          <w:rFonts w:ascii="Calibri" w:hAnsi="Calibri" w:cs="Calibri"/>
          <w:bCs/>
          <w:color w:val="002151"/>
          <w:w w:val="110"/>
          <w:kern w:val="20"/>
          <w:szCs w:val="20"/>
        </w:rPr>
        <w:t>s</w:t>
      </w:r>
      <w:r w:rsidR="00955833">
        <w:rPr>
          <w:rFonts w:ascii="Calibri" w:hAnsi="Calibri" w:cs="Calibri"/>
          <w:bCs/>
          <w:color w:val="002151"/>
          <w:w w:val="110"/>
          <w:kern w:val="20"/>
          <w:szCs w:val="20"/>
        </w:rPr>
        <w:t>ing noti</w:t>
      </w:r>
      <w:r w:rsidR="00E405A5">
        <w:rPr>
          <w:rFonts w:ascii="Calibri" w:hAnsi="Calibri" w:cs="Calibri"/>
          <w:bCs/>
          <w:color w:val="002151"/>
          <w:w w:val="110"/>
          <w:kern w:val="20"/>
          <w:szCs w:val="20"/>
        </w:rPr>
        <w:t xml:space="preserve">ce’ type document </w:t>
      </w:r>
      <w:r w:rsidR="00F821C4">
        <w:rPr>
          <w:rFonts w:ascii="Calibri" w:hAnsi="Calibri" w:cs="Calibri"/>
          <w:bCs/>
          <w:color w:val="002151"/>
          <w:w w:val="110"/>
          <w:kern w:val="20"/>
          <w:szCs w:val="20"/>
        </w:rPr>
        <w:t xml:space="preserve">in lieu of a prospectus </w:t>
      </w:r>
      <w:r w:rsidR="00E405A5">
        <w:rPr>
          <w:rFonts w:ascii="Calibri" w:hAnsi="Calibri" w:cs="Calibri"/>
          <w:bCs/>
          <w:color w:val="002151"/>
          <w:w w:val="110"/>
          <w:kern w:val="20"/>
          <w:szCs w:val="20"/>
        </w:rPr>
        <w:t xml:space="preserve">would allow for issuers to produce a document including </w:t>
      </w:r>
      <w:r w:rsidR="00EF30AC">
        <w:rPr>
          <w:rFonts w:ascii="Calibri" w:hAnsi="Calibri" w:cs="Calibri"/>
          <w:bCs/>
          <w:color w:val="002151"/>
          <w:w w:val="110"/>
          <w:kern w:val="20"/>
          <w:szCs w:val="20"/>
        </w:rPr>
        <w:t>only the relevant</w:t>
      </w:r>
      <w:r w:rsidR="00746026">
        <w:rPr>
          <w:rFonts w:ascii="Calibri" w:hAnsi="Calibri" w:cs="Calibri"/>
          <w:bCs/>
          <w:color w:val="002151"/>
          <w:w w:val="110"/>
          <w:kern w:val="20"/>
          <w:szCs w:val="20"/>
        </w:rPr>
        <w:t xml:space="preserve"> additional </w:t>
      </w:r>
      <w:r w:rsidR="00EF30AC">
        <w:rPr>
          <w:rFonts w:ascii="Calibri" w:hAnsi="Calibri" w:cs="Calibri"/>
          <w:bCs/>
          <w:color w:val="002151"/>
          <w:w w:val="110"/>
          <w:kern w:val="20"/>
          <w:szCs w:val="20"/>
        </w:rPr>
        <w:t>information</w:t>
      </w:r>
      <w:r w:rsidR="001A01DC">
        <w:rPr>
          <w:rFonts w:ascii="Calibri" w:hAnsi="Calibri" w:cs="Calibri"/>
          <w:bCs/>
          <w:color w:val="002151"/>
          <w:w w:val="110"/>
          <w:kern w:val="20"/>
          <w:szCs w:val="20"/>
        </w:rPr>
        <w:t xml:space="preserve">, therefore reducing the time and costs associated with </w:t>
      </w:r>
      <w:r w:rsidR="00F821C4">
        <w:rPr>
          <w:rFonts w:ascii="Calibri" w:hAnsi="Calibri" w:cs="Calibri"/>
          <w:bCs/>
          <w:color w:val="002151"/>
          <w:w w:val="110"/>
          <w:kern w:val="20"/>
          <w:szCs w:val="20"/>
        </w:rPr>
        <w:t xml:space="preserve">a prospectus and </w:t>
      </w:r>
      <w:r w:rsidR="002F73FE">
        <w:rPr>
          <w:rFonts w:ascii="Calibri" w:hAnsi="Calibri" w:cs="Calibri"/>
          <w:bCs/>
          <w:color w:val="002151"/>
          <w:w w:val="110"/>
          <w:kern w:val="20"/>
          <w:szCs w:val="20"/>
        </w:rPr>
        <w:t xml:space="preserve">ensure that shareholder have access to all relevant disclosures whilst enabling them </w:t>
      </w:r>
      <w:r w:rsidR="00F821C4">
        <w:rPr>
          <w:rFonts w:ascii="Calibri" w:hAnsi="Calibri" w:cs="Calibri"/>
          <w:bCs/>
          <w:color w:val="002151"/>
          <w:w w:val="110"/>
          <w:kern w:val="20"/>
          <w:szCs w:val="20"/>
        </w:rPr>
        <w:t>to focus on the salient new information.</w:t>
      </w:r>
      <w:r w:rsidR="00EB2C52">
        <w:rPr>
          <w:rFonts w:ascii="Calibri" w:hAnsi="Calibri" w:cs="Calibri"/>
          <w:bCs/>
          <w:color w:val="002151"/>
          <w:w w:val="110"/>
          <w:kern w:val="20"/>
          <w:szCs w:val="20"/>
        </w:rPr>
        <w:t xml:space="preserve"> </w:t>
      </w:r>
    </w:p>
    <w:p w14:paraId="67CD0846" w14:textId="138A438E" w:rsidR="00404B1B" w:rsidRDefault="00404B1B" w:rsidP="00404B1B">
      <w:pPr>
        <w:rPr>
          <w:rFonts w:ascii="Calibri" w:hAnsi="Calibri" w:cs="Calibri"/>
          <w:bCs/>
          <w:color w:val="002151"/>
          <w:w w:val="110"/>
          <w:kern w:val="20"/>
          <w:szCs w:val="20"/>
        </w:rPr>
      </w:pPr>
      <w:r w:rsidRPr="00404B1B">
        <w:rPr>
          <w:rFonts w:ascii="Calibri" w:hAnsi="Calibri" w:cs="Calibri"/>
          <w:bCs/>
          <w:color w:val="002151"/>
          <w:w w:val="110"/>
          <w:kern w:val="20"/>
          <w:szCs w:val="20"/>
        </w:rPr>
        <w:t>The benefits to issuers will be even greater in instances where the market is already informed of all the material information relating to the value of the securities, where a cleansing notice would consist of a</w:t>
      </w:r>
      <w:r w:rsidR="00223897">
        <w:rPr>
          <w:rFonts w:ascii="Calibri" w:hAnsi="Calibri" w:cs="Calibri"/>
          <w:bCs/>
          <w:color w:val="002151"/>
          <w:w w:val="110"/>
          <w:kern w:val="20"/>
          <w:szCs w:val="20"/>
        </w:rPr>
        <w:t xml:space="preserve"> a statement </w:t>
      </w:r>
      <w:r w:rsidR="00E63FDB">
        <w:rPr>
          <w:rFonts w:ascii="Calibri" w:hAnsi="Calibri" w:cs="Calibri"/>
          <w:bCs/>
          <w:color w:val="002151"/>
          <w:w w:val="110"/>
          <w:kern w:val="20"/>
          <w:szCs w:val="20"/>
        </w:rPr>
        <w:t xml:space="preserve">confirming that </w:t>
      </w:r>
      <w:r>
        <w:rPr>
          <w:rFonts w:ascii="Calibri" w:hAnsi="Calibri" w:cs="Calibri"/>
          <w:bCs/>
          <w:color w:val="002151"/>
          <w:w w:val="110"/>
          <w:kern w:val="20"/>
          <w:szCs w:val="20"/>
        </w:rPr>
        <w:t xml:space="preserve">the market was already fully informed. </w:t>
      </w:r>
    </w:p>
    <w:p w14:paraId="22B31FCE" w14:textId="342C1FF2" w:rsidR="00F01C6F" w:rsidRDefault="00FD69B0" w:rsidP="00404B1B">
      <w:pPr>
        <w:rPr>
          <w:rFonts w:ascii="Calibri" w:hAnsi="Calibri" w:cs="Calibri"/>
          <w:bCs/>
          <w:color w:val="002151"/>
          <w:w w:val="110"/>
          <w:kern w:val="20"/>
          <w:szCs w:val="20"/>
        </w:rPr>
      </w:pPr>
      <w:r>
        <w:rPr>
          <w:rFonts w:ascii="Calibri" w:hAnsi="Calibri" w:cs="Calibri"/>
          <w:bCs/>
          <w:color w:val="002151"/>
          <w:w w:val="110"/>
          <w:kern w:val="20"/>
          <w:szCs w:val="20"/>
        </w:rPr>
        <w:t xml:space="preserve">As previously </w:t>
      </w:r>
      <w:proofErr w:type="gramStart"/>
      <w:r>
        <w:rPr>
          <w:rFonts w:ascii="Calibri" w:hAnsi="Calibri" w:cs="Calibri"/>
          <w:bCs/>
          <w:color w:val="002151"/>
          <w:w w:val="110"/>
          <w:kern w:val="20"/>
          <w:szCs w:val="20"/>
        </w:rPr>
        <w:t>mentioned</w:t>
      </w:r>
      <w:proofErr w:type="gramEnd"/>
      <w:r>
        <w:rPr>
          <w:rFonts w:ascii="Calibri" w:hAnsi="Calibri" w:cs="Calibri"/>
          <w:bCs/>
          <w:color w:val="002151"/>
          <w:w w:val="110"/>
          <w:kern w:val="20"/>
          <w:szCs w:val="20"/>
        </w:rPr>
        <w:t xml:space="preserve"> we note that in all cases investors still expect that issuers </w:t>
      </w:r>
      <w:r w:rsidR="004843EA">
        <w:rPr>
          <w:rFonts w:ascii="Calibri" w:hAnsi="Calibri" w:cs="Calibri"/>
          <w:bCs/>
          <w:color w:val="002151"/>
          <w:w w:val="110"/>
          <w:kern w:val="20"/>
          <w:szCs w:val="20"/>
        </w:rPr>
        <w:t>provide shareholders with disclosures relating to how it intends on using the proceeds of the capital raise and a timetable for the use of those proceeds</w:t>
      </w:r>
      <w:r w:rsidR="00121A5D">
        <w:rPr>
          <w:rFonts w:ascii="Calibri" w:hAnsi="Calibri" w:cs="Calibri"/>
          <w:bCs/>
          <w:color w:val="002151"/>
          <w:w w:val="110"/>
          <w:kern w:val="20"/>
          <w:szCs w:val="20"/>
        </w:rPr>
        <w:t>.</w:t>
      </w:r>
      <w:r w:rsidR="005B6D63">
        <w:rPr>
          <w:rFonts w:ascii="Calibri" w:hAnsi="Calibri" w:cs="Calibri"/>
          <w:bCs/>
          <w:color w:val="002151"/>
          <w:w w:val="110"/>
          <w:kern w:val="20"/>
          <w:szCs w:val="20"/>
        </w:rPr>
        <w:t xml:space="preserve"> </w:t>
      </w:r>
    </w:p>
    <w:p w14:paraId="59544728" w14:textId="69A97BDC" w:rsidR="00FF2F96" w:rsidRDefault="00FF2F96" w:rsidP="00FF2F96">
      <w:pPr>
        <w:pStyle w:val="ListParagraph"/>
        <w:numPr>
          <w:ilvl w:val="0"/>
          <w:numId w:val="21"/>
        </w:numPr>
        <w:rPr>
          <w:rFonts w:cs="Calibri"/>
          <w:b/>
        </w:rPr>
      </w:pPr>
      <w:r w:rsidRPr="0054119C">
        <w:rPr>
          <w:rFonts w:cs="Calibri"/>
          <w:b/>
          <w:highlight w:val="yellow"/>
        </w:rPr>
        <w:t>Do members have any experience with cleansing notices</w:t>
      </w:r>
      <w:r w:rsidR="005B1775">
        <w:rPr>
          <w:rFonts w:cs="Calibri"/>
          <w:b/>
          <w:highlight w:val="yellow"/>
        </w:rPr>
        <w:t xml:space="preserve"> in the Australian Market? D</w:t>
      </w:r>
      <w:r w:rsidRPr="006A76BB">
        <w:rPr>
          <w:rFonts w:cs="Calibri"/>
          <w:b/>
          <w:highlight w:val="yellow"/>
        </w:rPr>
        <w:t>o members believe that they provide for enough disclosures to make an informed voting decision?</w:t>
      </w:r>
    </w:p>
    <w:p w14:paraId="23110756" w14:textId="77777777" w:rsidR="009E28DA" w:rsidRPr="0054119C" w:rsidRDefault="009E28DA" w:rsidP="0054119C">
      <w:pPr>
        <w:pStyle w:val="ListParagraph"/>
        <w:rPr>
          <w:rFonts w:cs="Calibri"/>
          <w:b/>
        </w:rPr>
      </w:pPr>
    </w:p>
    <w:p w14:paraId="595A5012" w14:textId="1686E2F2" w:rsidR="0060196B" w:rsidRPr="0058244C" w:rsidRDefault="0060196B" w:rsidP="002D2FFD">
      <w:pPr>
        <w:rPr>
          <w:rFonts w:ascii="Calibri" w:hAnsi="Calibri" w:cs="Calibri"/>
          <w:bCs/>
          <w:color w:val="002151"/>
          <w:w w:val="110"/>
          <w:kern w:val="20"/>
          <w:szCs w:val="20"/>
        </w:rPr>
      </w:pPr>
      <w:r w:rsidRPr="0060196B">
        <w:rPr>
          <w:rFonts w:ascii="Calibri" w:hAnsi="Calibri" w:cs="Calibri"/>
          <w:b/>
          <w:color w:val="002151"/>
          <w:w w:val="110"/>
          <w:kern w:val="20"/>
          <w:szCs w:val="20"/>
        </w:rPr>
        <w:t>Different Accelerated/</w:t>
      </w:r>
      <w:r w:rsidR="00F01C6F">
        <w:rPr>
          <w:rFonts w:ascii="Calibri" w:hAnsi="Calibri" w:cs="Calibri"/>
          <w:b/>
          <w:color w:val="002151"/>
          <w:w w:val="110"/>
          <w:kern w:val="20"/>
          <w:szCs w:val="20"/>
        </w:rPr>
        <w:t>n</w:t>
      </w:r>
      <w:r w:rsidRPr="0060196B">
        <w:rPr>
          <w:rFonts w:ascii="Calibri" w:hAnsi="Calibri" w:cs="Calibri"/>
          <w:b/>
          <w:color w:val="002151"/>
          <w:w w:val="110"/>
          <w:kern w:val="20"/>
          <w:szCs w:val="20"/>
        </w:rPr>
        <w:t>on-traditional rights issues</w:t>
      </w:r>
      <w:r w:rsidRPr="0060196B">
        <w:rPr>
          <w:rFonts w:ascii="Calibri" w:hAnsi="Calibri" w:cs="Calibri"/>
          <w:bCs/>
          <w:color w:val="002151"/>
          <w:w w:val="110"/>
          <w:kern w:val="20"/>
          <w:szCs w:val="20"/>
        </w:rPr>
        <w:t xml:space="preserve"> – The below structures are non-traditional rights issue processes whereby securities are issued to institutional and retail investors separately</w:t>
      </w:r>
      <w:r w:rsidR="00B272B5">
        <w:rPr>
          <w:rFonts w:ascii="Calibri" w:hAnsi="Calibri" w:cs="Calibri"/>
          <w:bCs/>
          <w:color w:val="002151"/>
          <w:w w:val="110"/>
          <w:kern w:val="20"/>
          <w:szCs w:val="20"/>
        </w:rPr>
        <w:t xml:space="preserve"> </w:t>
      </w:r>
      <w:r w:rsidR="00B272B5">
        <w:rPr>
          <w:rStyle w:val="FootnoteReference"/>
          <w:rFonts w:ascii="Calibri" w:hAnsi="Calibri" w:cs="Calibri"/>
          <w:bCs/>
          <w:color w:val="002151"/>
          <w:w w:val="110"/>
          <w:kern w:val="20"/>
          <w:szCs w:val="20"/>
        </w:rPr>
        <w:footnoteReference w:id="2"/>
      </w:r>
      <w:r w:rsidR="0058244C" w:rsidRPr="0058244C">
        <w:rPr>
          <w:rFonts w:ascii="Calibri" w:hAnsi="Calibri" w:cs="Calibri"/>
          <w:bCs/>
          <w:color w:val="002151"/>
          <w:w w:val="110"/>
          <w:kern w:val="20"/>
          <w:szCs w:val="20"/>
          <w:vertAlign w:val="superscript"/>
        </w:rPr>
        <w:t>,</w:t>
      </w:r>
      <w:r w:rsidR="0058244C">
        <w:rPr>
          <w:rStyle w:val="FootnoteReference"/>
          <w:rFonts w:ascii="Calibri" w:hAnsi="Calibri" w:cs="Calibri"/>
          <w:bCs/>
          <w:color w:val="002151"/>
          <w:w w:val="110"/>
          <w:kern w:val="20"/>
          <w:szCs w:val="20"/>
        </w:rPr>
        <w:footnoteReference w:id="3"/>
      </w:r>
      <w:r w:rsidR="0058244C">
        <w:rPr>
          <w:rFonts w:ascii="Calibri" w:hAnsi="Calibri" w:cs="Calibri"/>
          <w:bCs/>
          <w:color w:val="002151"/>
          <w:w w:val="110"/>
          <w:kern w:val="20"/>
          <w:szCs w:val="20"/>
        </w:rPr>
        <w:t>.</w:t>
      </w:r>
    </w:p>
    <w:p w14:paraId="18D438FC" w14:textId="42A34CC2" w:rsidR="0060196B" w:rsidRPr="0054119C" w:rsidRDefault="00296745" w:rsidP="002D2FFD">
      <w:pPr>
        <w:rPr>
          <w:rFonts w:ascii="Calibri" w:hAnsi="Calibri" w:cs="Calibri"/>
          <w:i/>
          <w:color w:val="002151"/>
          <w:w w:val="110"/>
          <w:kern w:val="20"/>
          <w:szCs w:val="20"/>
        </w:rPr>
      </w:pPr>
      <w:r w:rsidRPr="0054119C">
        <w:rPr>
          <w:rFonts w:ascii="Calibri" w:hAnsi="Calibri" w:cs="Calibri"/>
          <w:i/>
          <w:color w:val="002151"/>
          <w:w w:val="110"/>
          <w:kern w:val="20"/>
          <w:szCs w:val="20"/>
          <w:u w:val="single"/>
        </w:rPr>
        <w:t>Renounceable</w:t>
      </w:r>
      <w:r w:rsidR="0060196B" w:rsidRPr="0054119C">
        <w:rPr>
          <w:rFonts w:ascii="Calibri" w:hAnsi="Calibri" w:cs="Calibri"/>
          <w:i/>
          <w:color w:val="002151"/>
          <w:w w:val="110"/>
          <w:kern w:val="20"/>
          <w:szCs w:val="20"/>
          <w:u w:val="single"/>
        </w:rPr>
        <w:t xml:space="preserve"> accelerated pro-rata issue with dual book build structure (RAPIDS)</w:t>
      </w:r>
      <w:r w:rsidR="0060196B" w:rsidRPr="0054119C">
        <w:rPr>
          <w:rFonts w:ascii="Calibri" w:hAnsi="Calibri" w:cs="Calibri"/>
          <w:i/>
          <w:color w:val="002151"/>
          <w:w w:val="110"/>
          <w:kern w:val="20"/>
          <w:szCs w:val="20"/>
        </w:rPr>
        <w:t xml:space="preserve"> – A</w:t>
      </w:r>
      <w:r w:rsidR="001E0499">
        <w:rPr>
          <w:rFonts w:ascii="Calibri" w:hAnsi="Calibri" w:cs="Calibri"/>
          <w:bCs/>
          <w:i/>
          <w:iCs/>
          <w:color w:val="002151"/>
          <w:w w:val="110"/>
          <w:kern w:val="20"/>
          <w:szCs w:val="20"/>
        </w:rPr>
        <w:t xml:space="preserve"> renounceable</w:t>
      </w:r>
      <w:r w:rsidR="0060196B" w:rsidRPr="006A76BB">
        <w:rPr>
          <w:rFonts w:ascii="Calibri" w:hAnsi="Calibri" w:cs="Calibri"/>
          <w:i/>
          <w:color w:val="002151"/>
          <w:w w:val="110"/>
          <w:kern w:val="20"/>
          <w:szCs w:val="20"/>
        </w:rPr>
        <w:t xml:space="preserve"> offer to Institutional investors is held under accelerated timetable with participants receiving their entitlement ahead of a subsequent retail offer (which occurs on the normal timetable</w:t>
      </w:r>
      <w:r w:rsidR="001C705E">
        <w:rPr>
          <w:rFonts w:ascii="Calibri" w:hAnsi="Calibri" w:cs="Calibri"/>
          <w:bCs/>
          <w:i/>
          <w:iCs/>
          <w:color w:val="002151"/>
          <w:w w:val="110"/>
          <w:kern w:val="20"/>
          <w:szCs w:val="20"/>
        </w:rPr>
        <w:t>)</w:t>
      </w:r>
      <w:r w:rsidR="0060196B" w:rsidRPr="0054119C">
        <w:rPr>
          <w:rFonts w:ascii="Calibri" w:hAnsi="Calibri" w:cs="Calibri"/>
          <w:i/>
          <w:color w:val="002151"/>
          <w:w w:val="110"/>
          <w:kern w:val="20"/>
          <w:szCs w:val="20"/>
        </w:rPr>
        <w:t xml:space="preserve">. </w:t>
      </w:r>
      <w:r w:rsidRPr="0054119C">
        <w:rPr>
          <w:rFonts w:ascii="Calibri" w:hAnsi="Calibri" w:cs="Calibri"/>
          <w:i/>
          <w:color w:val="002151"/>
          <w:w w:val="110"/>
          <w:kern w:val="20"/>
          <w:szCs w:val="20"/>
        </w:rPr>
        <w:t>Shareholders who do not take up their entitlements have them sold through an institutional and retail book build and receive the value of the entitlements.</w:t>
      </w:r>
      <w:r w:rsidR="003E07C6">
        <w:rPr>
          <w:rFonts w:ascii="Calibri" w:hAnsi="Calibri" w:cs="Calibri"/>
          <w:bCs/>
          <w:i/>
          <w:iCs/>
          <w:color w:val="002151"/>
          <w:w w:val="110"/>
          <w:kern w:val="20"/>
          <w:szCs w:val="20"/>
        </w:rPr>
        <w:t xml:space="preserve"> (</w:t>
      </w:r>
      <w:r w:rsidR="001C705E">
        <w:rPr>
          <w:rFonts w:ascii="Calibri" w:hAnsi="Calibri" w:cs="Calibri"/>
          <w:bCs/>
          <w:i/>
          <w:iCs/>
          <w:color w:val="002151"/>
          <w:w w:val="110"/>
          <w:kern w:val="20"/>
          <w:szCs w:val="20"/>
        </w:rPr>
        <w:t xml:space="preserve">Any premium </w:t>
      </w:r>
      <w:r w:rsidR="00D2030F">
        <w:rPr>
          <w:rFonts w:ascii="Calibri" w:hAnsi="Calibri" w:cs="Calibri"/>
          <w:bCs/>
          <w:i/>
          <w:iCs/>
          <w:color w:val="002151"/>
          <w:w w:val="110"/>
          <w:kern w:val="20"/>
          <w:szCs w:val="20"/>
        </w:rPr>
        <w:t>above the offer price</w:t>
      </w:r>
      <w:r w:rsidR="00692761">
        <w:rPr>
          <w:rFonts w:ascii="Calibri" w:hAnsi="Calibri" w:cs="Calibri"/>
          <w:bCs/>
          <w:i/>
          <w:iCs/>
          <w:color w:val="002151"/>
          <w:w w:val="110"/>
          <w:kern w:val="20"/>
          <w:szCs w:val="20"/>
        </w:rPr>
        <w:t xml:space="preserve"> is returned to the investors who did not take up their rights).</w:t>
      </w:r>
    </w:p>
    <w:p w14:paraId="4B365BE8" w14:textId="7AE5CB8F" w:rsidR="00296745" w:rsidRPr="0054119C" w:rsidRDefault="0060196B" w:rsidP="00B272B5">
      <w:pPr>
        <w:rPr>
          <w:rFonts w:ascii="Calibri" w:hAnsi="Calibri" w:cs="Calibri"/>
          <w:i/>
          <w:color w:val="002151"/>
          <w:w w:val="110"/>
          <w:kern w:val="20"/>
          <w:szCs w:val="20"/>
        </w:rPr>
      </w:pPr>
      <w:r w:rsidRPr="0054119C">
        <w:rPr>
          <w:rFonts w:ascii="Calibri" w:hAnsi="Calibri" w:cs="Calibri"/>
          <w:i/>
          <w:color w:val="002151"/>
          <w:w w:val="110"/>
          <w:kern w:val="20"/>
          <w:szCs w:val="20"/>
          <w:u w:val="single"/>
        </w:rPr>
        <w:t>Accelerated renounceable entitlement offer (AREO</w:t>
      </w:r>
      <w:r w:rsidRPr="0054119C">
        <w:rPr>
          <w:rFonts w:ascii="Calibri" w:hAnsi="Calibri" w:cs="Calibri"/>
          <w:i/>
          <w:color w:val="002151"/>
          <w:w w:val="110"/>
          <w:kern w:val="20"/>
          <w:szCs w:val="20"/>
        </w:rPr>
        <w:t xml:space="preserve">) </w:t>
      </w:r>
      <w:r w:rsidR="00296745" w:rsidRPr="0054119C">
        <w:rPr>
          <w:rFonts w:ascii="Calibri" w:hAnsi="Calibri" w:cs="Calibri"/>
          <w:i/>
          <w:color w:val="002151"/>
          <w:w w:val="110"/>
          <w:kern w:val="20"/>
          <w:szCs w:val="20"/>
        </w:rPr>
        <w:t>– A renounceable, off-market, accelerated pro-rata issue with dual book build structure</w:t>
      </w:r>
      <w:r w:rsidR="00B272B5" w:rsidRPr="0054119C">
        <w:rPr>
          <w:rFonts w:ascii="Calibri" w:hAnsi="Calibri" w:cs="Calibri"/>
          <w:i/>
          <w:color w:val="002151"/>
          <w:w w:val="110"/>
          <w:kern w:val="20"/>
          <w:szCs w:val="20"/>
        </w:rPr>
        <w:t xml:space="preserve"> </w:t>
      </w:r>
      <w:r w:rsidR="001118C6">
        <w:rPr>
          <w:rFonts w:ascii="Calibri" w:hAnsi="Calibri" w:cs="Calibri"/>
          <w:bCs/>
          <w:i/>
          <w:iCs/>
          <w:color w:val="002151"/>
          <w:w w:val="110"/>
          <w:kern w:val="20"/>
          <w:szCs w:val="20"/>
        </w:rPr>
        <w:t>offered</w:t>
      </w:r>
      <w:r w:rsidR="00B272B5" w:rsidRPr="0054119C">
        <w:rPr>
          <w:rFonts w:ascii="Calibri" w:hAnsi="Calibri" w:cs="Calibri"/>
          <w:i/>
          <w:color w:val="002151"/>
          <w:w w:val="110"/>
          <w:kern w:val="20"/>
          <w:szCs w:val="20"/>
        </w:rPr>
        <w:t xml:space="preserve"> to institutional shareholder</w:t>
      </w:r>
      <w:r w:rsidR="00B272B5">
        <w:rPr>
          <w:rFonts w:ascii="Calibri" w:hAnsi="Calibri" w:cs="Calibri"/>
          <w:i/>
          <w:color w:val="002151"/>
          <w:w w:val="110"/>
          <w:kern w:val="20"/>
          <w:szCs w:val="20"/>
        </w:rPr>
        <w:t xml:space="preserve"> </w:t>
      </w:r>
      <w:r w:rsidR="001118C6">
        <w:rPr>
          <w:rFonts w:ascii="Calibri" w:hAnsi="Calibri" w:cs="Calibri"/>
          <w:bCs/>
          <w:i/>
          <w:iCs/>
          <w:color w:val="002151"/>
          <w:w w:val="110"/>
          <w:kern w:val="20"/>
          <w:szCs w:val="20"/>
        </w:rPr>
        <w:t>which</w:t>
      </w:r>
      <w:r w:rsidR="00B272B5" w:rsidRPr="0054119C">
        <w:rPr>
          <w:rFonts w:ascii="Calibri" w:hAnsi="Calibri" w:cs="Calibri"/>
          <w:i/>
          <w:color w:val="002151"/>
          <w:w w:val="110"/>
          <w:kern w:val="20"/>
          <w:szCs w:val="20"/>
        </w:rPr>
        <w:t xml:space="preserve"> is accelerated ahead of the retail offer. Rights not taken up by institutions are offered to other institutional shareholders and new institutional investors under a bookbuild undertaken after the close of the institutional offer.</w:t>
      </w:r>
      <w:r w:rsidR="00B272B5" w:rsidRPr="0054119C">
        <w:rPr>
          <w:i/>
        </w:rPr>
        <w:t xml:space="preserve"> </w:t>
      </w:r>
      <w:r w:rsidR="00B272B5" w:rsidRPr="0054119C">
        <w:rPr>
          <w:rFonts w:ascii="Calibri" w:hAnsi="Calibri" w:cs="Calibri"/>
          <w:i/>
          <w:color w:val="002151"/>
          <w:w w:val="110"/>
          <w:kern w:val="20"/>
          <w:szCs w:val="20"/>
        </w:rPr>
        <w:t>The bookbuild price is above the fixed offer price, the excess is remitted to non-participating institutions on a pro-rata basis. A similar bookbuild and remittance process occurs for the retail offer.</w:t>
      </w:r>
    </w:p>
    <w:p w14:paraId="1D01BDA2" w14:textId="77777777" w:rsidR="002D7288" w:rsidRPr="0054119C" w:rsidRDefault="00296745" w:rsidP="00296745">
      <w:pPr>
        <w:rPr>
          <w:rFonts w:ascii="Calibri" w:hAnsi="Calibri" w:cs="Calibri"/>
          <w:i/>
          <w:color w:val="002151"/>
          <w:w w:val="110"/>
          <w:kern w:val="20"/>
          <w:szCs w:val="20"/>
        </w:rPr>
      </w:pPr>
      <w:r w:rsidRPr="0054119C">
        <w:rPr>
          <w:rFonts w:ascii="Calibri" w:hAnsi="Calibri" w:cs="Calibri"/>
          <w:i/>
          <w:color w:val="002151"/>
          <w:w w:val="110"/>
          <w:kern w:val="20"/>
          <w:szCs w:val="20"/>
          <w:u w:val="single"/>
        </w:rPr>
        <w:t xml:space="preserve">Pro-rata Accelerated Institutional Tradeable Retail </w:t>
      </w:r>
      <w:proofErr w:type="gramStart"/>
      <w:r w:rsidRPr="0054119C">
        <w:rPr>
          <w:rFonts w:ascii="Calibri" w:hAnsi="Calibri" w:cs="Calibri"/>
          <w:i/>
          <w:color w:val="002151"/>
          <w:w w:val="110"/>
          <w:kern w:val="20"/>
          <w:szCs w:val="20"/>
          <w:u w:val="single"/>
        </w:rPr>
        <w:t>renounceable</w:t>
      </w:r>
      <w:proofErr w:type="gramEnd"/>
      <w:r w:rsidRPr="0054119C">
        <w:rPr>
          <w:rFonts w:ascii="Calibri" w:hAnsi="Calibri" w:cs="Calibri"/>
          <w:i/>
          <w:color w:val="002151"/>
          <w:w w:val="110"/>
          <w:kern w:val="20"/>
          <w:szCs w:val="20"/>
          <w:u w:val="single"/>
        </w:rPr>
        <w:t xml:space="preserve"> Entitlement Offer (PAITREO</w:t>
      </w:r>
      <w:r w:rsidRPr="0054119C">
        <w:rPr>
          <w:rFonts w:ascii="Calibri" w:hAnsi="Calibri" w:cs="Calibri"/>
          <w:i/>
          <w:color w:val="002151"/>
          <w:w w:val="110"/>
          <w:kern w:val="20"/>
          <w:szCs w:val="20"/>
        </w:rPr>
        <w:t xml:space="preserve">) – A variation on the AREO structure where rights-trading is available for retail shareholders. Retail shareholders </w:t>
      </w:r>
      <w:proofErr w:type="gramStart"/>
      <w:r w:rsidRPr="0054119C">
        <w:rPr>
          <w:rFonts w:ascii="Calibri" w:hAnsi="Calibri" w:cs="Calibri"/>
          <w:i/>
          <w:color w:val="002151"/>
          <w:w w:val="110"/>
          <w:kern w:val="20"/>
          <w:szCs w:val="20"/>
        </w:rPr>
        <w:t>have the opportunity to</w:t>
      </w:r>
      <w:proofErr w:type="gramEnd"/>
      <w:r w:rsidRPr="0054119C">
        <w:rPr>
          <w:rFonts w:ascii="Calibri" w:hAnsi="Calibri" w:cs="Calibri"/>
          <w:i/>
          <w:color w:val="002151"/>
          <w:w w:val="110"/>
          <w:kern w:val="20"/>
          <w:szCs w:val="20"/>
        </w:rPr>
        <w:t xml:space="preserve"> either take up their entitlements through the offer period or sell their rights through the rights trading period. The rights trading period commences immediately upon lifting of trading halt. The retail book build is the same as that of a traditional rights issue where retail shareholders who renounce their entitlements receive the excess amount of the book build price over the issue price</w:t>
      </w:r>
    </w:p>
    <w:p w14:paraId="18E4B2B5" w14:textId="02D4D371" w:rsidR="0060196B" w:rsidRDefault="0060196B" w:rsidP="00296745">
      <w:pPr>
        <w:rPr>
          <w:rFonts w:ascii="Calibri" w:hAnsi="Calibri" w:cs="Calibri"/>
          <w:i/>
          <w:color w:val="002151"/>
          <w:w w:val="110"/>
          <w:kern w:val="20"/>
          <w:szCs w:val="20"/>
        </w:rPr>
      </w:pPr>
      <w:r w:rsidRPr="0054119C">
        <w:rPr>
          <w:rFonts w:ascii="Calibri" w:hAnsi="Calibri" w:cs="Calibri"/>
          <w:i/>
          <w:color w:val="002151"/>
          <w:w w:val="110"/>
          <w:kern w:val="20"/>
          <w:szCs w:val="20"/>
          <w:u w:val="single"/>
        </w:rPr>
        <w:t>Simultaneous Accelerated Renounceable Entitlements Offer (SAREO)</w:t>
      </w:r>
      <w:r w:rsidR="00296745" w:rsidRPr="0054119C">
        <w:rPr>
          <w:rFonts w:ascii="Calibri" w:hAnsi="Calibri" w:cs="Calibri"/>
          <w:i/>
          <w:color w:val="002151"/>
          <w:w w:val="110"/>
          <w:kern w:val="20"/>
          <w:szCs w:val="20"/>
        </w:rPr>
        <w:t xml:space="preserve"> </w:t>
      </w:r>
      <w:r w:rsidR="00F70B6C">
        <w:rPr>
          <w:rFonts w:ascii="Calibri" w:hAnsi="Calibri" w:cs="Calibri"/>
          <w:bCs/>
          <w:i/>
          <w:iCs/>
          <w:color w:val="002151"/>
          <w:w w:val="110"/>
          <w:kern w:val="20"/>
          <w:szCs w:val="20"/>
        </w:rPr>
        <w:t>– a variation on the AREO.</w:t>
      </w:r>
      <w:r w:rsidR="00296745" w:rsidRPr="0054119C">
        <w:rPr>
          <w:rFonts w:ascii="Calibri" w:hAnsi="Calibri" w:cs="Calibri"/>
          <w:i/>
          <w:color w:val="002151"/>
          <w:w w:val="110"/>
          <w:kern w:val="20"/>
          <w:szCs w:val="20"/>
        </w:rPr>
        <w:t xml:space="preserve"> Accelerated entitlement offer carried out in 2 tranches (offer to institutional holders followed by the offer to retail holders) but with “off-market renounced” entitlements (if there is any) carried out in a single book build</w:t>
      </w:r>
      <w:r w:rsidR="00E4035A">
        <w:rPr>
          <w:rFonts w:ascii="Calibri" w:hAnsi="Calibri" w:cs="Calibri"/>
          <w:bCs/>
          <w:i/>
          <w:iCs/>
          <w:color w:val="002151"/>
          <w:w w:val="110"/>
          <w:kern w:val="20"/>
          <w:szCs w:val="20"/>
        </w:rPr>
        <w:t xml:space="preserve"> after the </w:t>
      </w:r>
      <w:r w:rsidR="00307E70">
        <w:rPr>
          <w:rFonts w:ascii="Calibri" w:hAnsi="Calibri" w:cs="Calibri"/>
          <w:bCs/>
          <w:i/>
          <w:iCs/>
          <w:color w:val="002151"/>
          <w:w w:val="110"/>
          <w:kern w:val="20"/>
          <w:szCs w:val="20"/>
        </w:rPr>
        <w:t>retail offer is completed.</w:t>
      </w:r>
    </w:p>
    <w:p w14:paraId="71B6400F" w14:textId="6FA36095" w:rsidR="00C054A5" w:rsidRPr="002C33A6" w:rsidRDefault="00C054A5" w:rsidP="00C054A5">
      <w:pPr>
        <w:pStyle w:val="ListParagraph"/>
        <w:numPr>
          <w:ilvl w:val="0"/>
          <w:numId w:val="21"/>
        </w:numPr>
        <w:rPr>
          <w:rFonts w:cs="Calibri"/>
          <w:b/>
          <w:bCs/>
          <w:highlight w:val="yellow"/>
        </w:rPr>
      </w:pPr>
      <w:r w:rsidRPr="002C33A6">
        <w:rPr>
          <w:rFonts w:cs="Calibri"/>
          <w:b/>
          <w:bCs/>
          <w:highlight w:val="yellow"/>
        </w:rPr>
        <w:t xml:space="preserve">Do members believe that a one week offer period for institutional investors </w:t>
      </w:r>
      <w:r w:rsidR="00163DA5" w:rsidRPr="002C33A6">
        <w:rPr>
          <w:rFonts w:cs="Calibri"/>
          <w:b/>
          <w:bCs/>
          <w:highlight w:val="yellow"/>
        </w:rPr>
        <w:t>provides enough time to consider the matter and engage with companies?</w:t>
      </w:r>
    </w:p>
    <w:p w14:paraId="1D419485" w14:textId="454C9020" w:rsidR="00163DA5" w:rsidRPr="002C33A6" w:rsidRDefault="0009314D" w:rsidP="00465A7B">
      <w:pPr>
        <w:pStyle w:val="ListParagraph"/>
        <w:numPr>
          <w:ilvl w:val="0"/>
          <w:numId w:val="21"/>
        </w:numPr>
        <w:rPr>
          <w:rFonts w:cs="Calibri"/>
          <w:b/>
          <w:bCs/>
          <w:highlight w:val="yellow"/>
        </w:rPr>
      </w:pPr>
      <w:r w:rsidRPr="002C33A6">
        <w:rPr>
          <w:rFonts w:cs="Calibri"/>
          <w:b/>
          <w:bCs/>
          <w:highlight w:val="yellow"/>
        </w:rPr>
        <w:t>Do members believe that the differential treatment of retail and institutional investors is appropriate for the UK market?</w:t>
      </w:r>
      <w:r w:rsidR="00FD3088" w:rsidRPr="002C33A6">
        <w:rPr>
          <w:rFonts w:cs="Calibri"/>
          <w:b/>
          <w:bCs/>
          <w:highlight w:val="yellow"/>
        </w:rPr>
        <w:t xml:space="preserve"> </w:t>
      </w:r>
      <w:r w:rsidR="002C765E" w:rsidRPr="002C33A6">
        <w:rPr>
          <w:rFonts w:cs="Calibri"/>
          <w:b/>
          <w:bCs/>
          <w:highlight w:val="yellow"/>
        </w:rPr>
        <w:t>(</w:t>
      </w:r>
      <w:proofErr w:type="gramStart"/>
      <w:r w:rsidR="002C765E" w:rsidRPr="002C33A6">
        <w:rPr>
          <w:rFonts w:cs="Calibri"/>
          <w:b/>
          <w:bCs/>
          <w:highlight w:val="yellow"/>
        </w:rPr>
        <w:t>is</w:t>
      </w:r>
      <w:proofErr w:type="gramEnd"/>
      <w:r w:rsidR="002C765E" w:rsidRPr="002C33A6">
        <w:rPr>
          <w:rFonts w:cs="Calibri"/>
          <w:b/>
          <w:bCs/>
          <w:highlight w:val="yellow"/>
        </w:rPr>
        <w:t xml:space="preserve"> this consistent with the stated ambitions of HMT and the Listings Review to increase retail participation in </w:t>
      </w:r>
      <w:r w:rsidR="00453A7B" w:rsidRPr="002C33A6">
        <w:rPr>
          <w:rFonts w:cs="Calibri"/>
          <w:b/>
          <w:bCs/>
          <w:highlight w:val="yellow"/>
        </w:rPr>
        <w:t>corporate actions and further issuances</w:t>
      </w:r>
      <w:r w:rsidR="00F70B11" w:rsidRPr="002C33A6">
        <w:rPr>
          <w:rFonts w:cs="Calibri"/>
          <w:b/>
          <w:bCs/>
          <w:highlight w:val="yellow"/>
        </w:rPr>
        <w:t>?</w:t>
      </w:r>
    </w:p>
    <w:p w14:paraId="4433989E" w14:textId="139366EF" w:rsidR="00465A7B" w:rsidRPr="002C33A6" w:rsidRDefault="00465A7B" w:rsidP="0054119C">
      <w:pPr>
        <w:pStyle w:val="ListParagraph"/>
        <w:numPr>
          <w:ilvl w:val="0"/>
          <w:numId w:val="21"/>
        </w:numPr>
        <w:rPr>
          <w:rFonts w:cs="Calibri"/>
          <w:b/>
          <w:bCs/>
          <w:highlight w:val="yellow"/>
        </w:rPr>
      </w:pPr>
      <w:r w:rsidRPr="002C33A6">
        <w:rPr>
          <w:rFonts w:cs="Calibri"/>
          <w:b/>
          <w:bCs/>
          <w:highlight w:val="yellow"/>
        </w:rPr>
        <w:t>Do members have any experience and views on the various structures used in the Australian Market</w:t>
      </w:r>
      <w:r w:rsidR="00F70B11" w:rsidRPr="002C33A6">
        <w:rPr>
          <w:rFonts w:cs="Calibri"/>
          <w:b/>
          <w:bCs/>
          <w:highlight w:val="yellow"/>
        </w:rPr>
        <w:t>?</w:t>
      </w:r>
    </w:p>
    <w:p w14:paraId="543428FE" w14:textId="77777777" w:rsidR="00582B6E" w:rsidRPr="00582B6E" w:rsidRDefault="00582B6E" w:rsidP="00582B6E">
      <w:pPr>
        <w:pStyle w:val="ListParagraph"/>
        <w:rPr>
          <w:rFonts w:cs="Calibri"/>
          <w:b/>
        </w:rPr>
      </w:pPr>
    </w:p>
    <w:p w14:paraId="382DC9BE" w14:textId="3D11A92F" w:rsidR="002D2FFD" w:rsidRDefault="002D2FFD" w:rsidP="002D7288">
      <w:pPr>
        <w:pStyle w:val="ListParagraph"/>
        <w:numPr>
          <w:ilvl w:val="0"/>
          <w:numId w:val="2"/>
        </w:numPr>
        <w:rPr>
          <w:rFonts w:cs="Calibri"/>
          <w:b/>
        </w:rPr>
      </w:pPr>
      <w:r w:rsidRPr="0062156C">
        <w:rPr>
          <w:rFonts w:cs="Calibri"/>
          <w:b/>
        </w:rPr>
        <w:t>Has the greater transparency around short selling that was introduced after the financial crisis benefited the rights issue process and is there more that can and should be done in this area?</w:t>
      </w:r>
    </w:p>
    <w:p w14:paraId="699457FF" w14:textId="77777777" w:rsidR="00582B6E" w:rsidRPr="002D7288" w:rsidRDefault="00582B6E" w:rsidP="00582B6E">
      <w:pPr>
        <w:pStyle w:val="ListParagraph"/>
        <w:rPr>
          <w:rFonts w:cs="Calibri"/>
          <w:b/>
        </w:rPr>
      </w:pPr>
    </w:p>
    <w:p w14:paraId="29265CE2" w14:textId="6A219394" w:rsidR="005309BF" w:rsidRDefault="00017604" w:rsidP="009D38E9">
      <w:pPr>
        <w:rPr>
          <w:rFonts w:ascii="Calibri" w:hAnsi="Calibri" w:cs="Calibri"/>
          <w:bCs/>
          <w:color w:val="002151"/>
          <w:w w:val="110"/>
          <w:kern w:val="20"/>
          <w:szCs w:val="20"/>
        </w:rPr>
      </w:pPr>
      <w:r w:rsidRPr="00F95CEC">
        <w:rPr>
          <w:rFonts w:ascii="Calibri" w:hAnsi="Calibri" w:cs="Calibri"/>
          <w:bCs/>
          <w:color w:val="002151"/>
          <w:w w:val="110"/>
          <w:kern w:val="20"/>
          <w:szCs w:val="20"/>
        </w:rPr>
        <w:lastRenderedPageBreak/>
        <w:t xml:space="preserve">IA members have expressed concerns about the activity of </w:t>
      </w:r>
      <w:proofErr w:type="gramStart"/>
      <w:r w:rsidRPr="00F95CEC">
        <w:rPr>
          <w:rFonts w:ascii="Calibri" w:hAnsi="Calibri" w:cs="Calibri"/>
          <w:bCs/>
          <w:color w:val="002151"/>
          <w:w w:val="110"/>
          <w:kern w:val="20"/>
          <w:szCs w:val="20"/>
        </w:rPr>
        <w:t>short-seller</w:t>
      </w:r>
      <w:r w:rsidR="00F95CEC">
        <w:rPr>
          <w:rFonts w:ascii="Calibri" w:hAnsi="Calibri" w:cs="Calibri"/>
          <w:bCs/>
          <w:color w:val="002151"/>
          <w:w w:val="110"/>
          <w:kern w:val="20"/>
          <w:szCs w:val="20"/>
        </w:rPr>
        <w:t>s</w:t>
      </w:r>
      <w:proofErr w:type="gramEnd"/>
      <w:r w:rsidRPr="00F95CEC">
        <w:rPr>
          <w:rFonts w:ascii="Calibri" w:hAnsi="Calibri" w:cs="Calibri"/>
          <w:bCs/>
          <w:color w:val="002151"/>
          <w:w w:val="110"/>
          <w:kern w:val="20"/>
          <w:szCs w:val="20"/>
        </w:rPr>
        <w:t xml:space="preserve"> during the rights issue process. A greater prevalence of short selling leads to increase</w:t>
      </w:r>
      <w:r w:rsidR="00A05EEA">
        <w:rPr>
          <w:rFonts w:ascii="Calibri" w:hAnsi="Calibri" w:cs="Calibri"/>
          <w:bCs/>
          <w:color w:val="002151"/>
          <w:w w:val="110"/>
          <w:kern w:val="20"/>
          <w:szCs w:val="20"/>
        </w:rPr>
        <w:t>d</w:t>
      </w:r>
      <w:r w:rsidRPr="00F95CEC">
        <w:rPr>
          <w:rFonts w:ascii="Calibri" w:hAnsi="Calibri" w:cs="Calibri"/>
          <w:bCs/>
          <w:color w:val="002151"/>
          <w:w w:val="110"/>
          <w:kern w:val="20"/>
          <w:szCs w:val="20"/>
        </w:rPr>
        <w:t xml:space="preserve"> risk of </w:t>
      </w:r>
      <w:r w:rsidR="008C27F0">
        <w:rPr>
          <w:rFonts w:ascii="Calibri" w:hAnsi="Calibri" w:cs="Calibri"/>
          <w:bCs/>
          <w:color w:val="002151"/>
          <w:w w:val="110"/>
          <w:kern w:val="20"/>
          <w:szCs w:val="20"/>
        </w:rPr>
        <w:t xml:space="preserve">price </w:t>
      </w:r>
      <w:r w:rsidRPr="00F95CEC">
        <w:rPr>
          <w:rFonts w:ascii="Calibri" w:hAnsi="Calibri" w:cs="Calibri"/>
          <w:bCs/>
          <w:color w:val="002151"/>
          <w:w w:val="110"/>
          <w:kern w:val="20"/>
          <w:szCs w:val="20"/>
        </w:rPr>
        <w:t xml:space="preserve">destabilisation </w:t>
      </w:r>
      <w:r w:rsidR="00F95CEC">
        <w:rPr>
          <w:rFonts w:ascii="Calibri" w:hAnsi="Calibri" w:cs="Calibri"/>
          <w:bCs/>
          <w:color w:val="002151"/>
          <w:w w:val="110"/>
          <w:kern w:val="20"/>
          <w:szCs w:val="20"/>
        </w:rPr>
        <w:t xml:space="preserve">and volatility </w:t>
      </w:r>
      <w:r w:rsidRPr="00F95CEC">
        <w:rPr>
          <w:rFonts w:ascii="Calibri" w:hAnsi="Calibri" w:cs="Calibri"/>
          <w:bCs/>
          <w:color w:val="002151"/>
          <w:w w:val="110"/>
          <w:kern w:val="20"/>
          <w:szCs w:val="20"/>
        </w:rPr>
        <w:t xml:space="preserve">during the offer period and is particularly damaging to issuers who conduct a right issue to strengthen their balance sheets. </w:t>
      </w:r>
      <w:r w:rsidR="005309BF">
        <w:rPr>
          <w:rFonts w:ascii="Calibri" w:hAnsi="Calibri" w:cs="Calibri"/>
          <w:bCs/>
          <w:color w:val="002151"/>
          <w:w w:val="110"/>
          <w:kern w:val="20"/>
          <w:szCs w:val="20"/>
        </w:rPr>
        <w:t>T</w:t>
      </w:r>
      <w:r w:rsidR="005309BF" w:rsidRPr="005309BF">
        <w:rPr>
          <w:rFonts w:ascii="Calibri" w:hAnsi="Calibri" w:cs="Calibri"/>
          <w:bCs/>
          <w:color w:val="002151"/>
          <w:w w:val="110"/>
          <w:kern w:val="20"/>
          <w:szCs w:val="20"/>
        </w:rPr>
        <w:t>he practice of short-se</w:t>
      </w:r>
      <w:r w:rsidR="005309BF">
        <w:rPr>
          <w:rFonts w:ascii="Calibri" w:hAnsi="Calibri" w:cs="Calibri"/>
          <w:bCs/>
          <w:color w:val="002151"/>
          <w:w w:val="110"/>
          <w:kern w:val="20"/>
          <w:szCs w:val="20"/>
        </w:rPr>
        <w:t xml:space="preserve">lling during rights-issues also discourages issuers from raising capital pre-emptively as the longer duration exposes them to short sellers, who look to supress the share price, </w:t>
      </w:r>
      <w:r w:rsidR="00286A96">
        <w:rPr>
          <w:rFonts w:ascii="Calibri" w:hAnsi="Calibri" w:cs="Calibri"/>
          <w:bCs/>
          <w:color w:val="002151"/>
          <w:w w:val="110"/>
          <w:kern w:val="20"/>
          <w:szCs w:val="20"/>
        </w:rPr>
        <w:t>which can jeopardise</w:t>
      </w:r>
      <w:r w:rsidR="005309BF">
        <w:rPr>
          <w:rFonts w:ascii="Calibri" w:hAnsi="Calibri" w:cs="Calibri"/>
          <w:bCs/>
          <w:color w:val="002151"/>
          <w:w w:val="110"/>
          <w:kern w:val="20"/>
          <w:szCs w:val="20"/>
        </w:rPr>
        <w:t xml:space="preserve"> the </w:t>
      </w:r>
      <w:r w:rsidR="00B70CCF">
        <w:rPr>
          <w:rFonts w:ascii="Calibri" w:hAnsi="Calibri" w:cs="Calibri"/>
          <w:bCs/>
          <w:color w:val="002151"/>
          <w:w w:val="110"/>
          <w:kern w:val="20"/>
          <w:szCs w:val="20"/>
        </w:rPr>
        <w:t xml:space="preserve">completion of the </w:t>
      </w:r>
      <w:r w:rsidR="005309BF">
        <w:rPr>
          <w:rFonts w:ascii="Calibri" w:hAnsi="Calibri" w:cs="Calibri"/>
          <w:bCs/>
          <w:color w:val="002151"/>
          <w:w w:val="110"/>
          <w:kern w:val="20"/>
          <w:szCs w:val="20"/>
        </w:rPr>
        <w:t>capital raise.</w:t>
      </w:r>
      <w:r w:rsidR="009565E1">
        <w:rPr>
          <w:rFonts w:ascii="Calibri" w:hAnsi="Calibri" w:cs="Calibri"/>
          <w:bCs/>
          <w:color w:val="002151"/>
          <w:w w:val="110"/>
          <w:kern w:val="20"/>
          <w:szCs w:val="20"/>
        </w:rPr>
        <w:t xml:space="preserve"> This</w:t>
      </w:r>
      <w:r w:rsidR="00F70B11">
        <w:rPr>
          <w:rFonts w:ascii="Calibri" w:hAnsi="Calibri" w:cs="Calibri"/>
          <w:bCs/>
          <w:color w:val="002151"/>
          <w:w w:val="110"/>
          <w:kern w:val="20"/>
          <w:szCs w:val="20"/>
        </w:rPr>
        <w:t xml:space="preserve"> results in</w:t>
      </w:r>
      <w:r w:rsidR="009565E1">
        <w:rPr>
          <w:rFonts w:ascii="Calibri" w:hAnsi="Calibri" w:cs="Calibri"/>
          <w:bCs/>
          <w:color w:val="002151"/>
          <w:w w:val="110"/>
          <w:kern w:val="20"/>
          <w:szCs w:val="20"/>
        </w:rPr>
        <w:t xml:space="preserve"> issuers </w:t>
      </w:r>
      <w:r w:rsidR="00E17D7F">
        <w:rPr>
          <w:rFonts w:ascii="Calibri" w:hAnsi="Calibri" w:cs="Calibri"/>
          <w:bCs/>
          <w:color w:val="002151"/>
          <w:w w:val="110"/>
          <w:kern w:val="20"/>
          <w:szCs w:val="20"/>
        </w:rPr>
        <w:t xml:space="preserve">having to accept a heavily discounted </w:t>
      </w:r>
      <w:r w:rsidR="00EC7B3A">
        <w:rPr>
          <w:rFonts w:ascii="Calibri" w:hAnsi="Calibri" w:cs="Calibri"/>
          <w:bCs/>
          <w:color w:val="002151"/>
          <w:w w:val="110"/>
          <w:kern w:val="20"/>
          <w:szCs w:val="20"/>
        </w:rPr>
        <w:t>offer price</w:t>
      </w:r>
      <w:r w:rsidR="00B70CCF">
        <w:rPr>
          <w:rFonts w:ascii="Calibri" w:hAnsi="Calibri" w:cs="Calibri"/>
          <w:bCs/>
          <w:color w:val="002151"/>
          <w:w w:val="110"/>
          <w:kern w:val="20"/>
          <w:szCs w:val="20"/>
        </w:rPr>
        <w:t>, requiring them to issue a greater number of shares, and an increased cost of capital.</w:t>
      </w:r>
      <w:r w:rsidR="00EC7B3A">
        <w:rPr>
          <w:rFonts w:ascii="Calibri" w:hAnsi="Calibri" w:cs="Calibri"/>
          <w:bCs/>
          <w:color w:val="002151"/>
          <w:w w:val="110"/>
          <w:kern w:val="20"/>
          <w:szCs w:val="20"/>
        </w:rPr>
        <w:t xml:space="preserve"> </w:t>
      </w:r>
    </w:p>
    <w:p w14:paraId="5A3C1E5E" w14:textId="6F4A977E" w:rsidR="00017604" w:rsidRDefault="00F95CEC" w:rsidP="009D38E9">
      <w:pPr>
        <w:rPr>
          <w:rFonts w:ascii="Calibri" w:hAnsi="Calibri" w:cs="Calibri"/>
          <w:bCs/>
          <w:color w:val="002151"/>
          <w:w w:val="110"/>
          <w:kern w:val="20"/>
          <w:szCs w:val="20"/>
        </w:rPr>
      </w:pPr>
      <w:r>
        <w:rPr>
          <w:rFonts w:ascii="Calibri" w:hAnsi="Calibri" w:cs="Calibri"/>
          <w:bCs/>
          <w:color w:val="002151"/>
          <w:w w:val="110"/>
          <w:kern w:val="20"/>
          <w:szCs w:val="20"/>
        </w:rPr>
        <w:t xml:space="preserve">Not only </w:t>
      </w:r>
      <w:r w:rsidR="00A03845">
        <w:rPr>
          <w:rFonts w:ascii="Calibri" w:hAnsi="Calibri" w:cs="Calibri"/>
          <w:bCs/>
          <w:color w:val="002151"/>
          <w:w w:val="110"/>
          <w:kern w:val="20"/>
          <w:szCs w:val="20"/>
        </w:rPr>
        <w:t>does this adversely impact</w:t>
      </w:r>
      <w:r>
        <w:rPr>
          <w:rFonts w:ascii="Calibri" w:hAnsi="Calibri" w:cs="Calibri"/>
          <w:bCs/>
          <w:color w:val="002151"/>
          <w:w w:val="110"/>
          <w:kern w:val="20"/>
          <w:szCs w:val="20"/>
        </w:rPr>
        <w:t xml:space="preserve"> shareholders</w:t>
      </w:r>
      <w:r w:rsidR="00A03845">
        <w:rPr>
          <w:rFonts w:ascii="Calibri" w:hAnsi="Calibri" w:cs="Calibri"/>
          <w:bCs/>
          <w:color w:val="002151"/>
          <w:w w:val="110"/>
          <w:kern w:val="20"/>
          <w:szCs w:val="20"/>
        </w:rPr>
        <w:t xml:space="preserve">, </w:t>
      </w:r>
      <w:proofErr w:type="gramStart"/>
      <w:r w:rsidR="00A03845">
        <w:rPr>
          <w:rFonts w:ascii="Calibri" w:hAnsi="Calibri" w:cs="Calibri"/>
          <w:bCs/>
          <w:color w:val="002151"/>
          <w:w w:val="110"/>
          <w:kern w:val="20"/>
          <w:szCs w:val="20"/>
        </w:rPr>
        <w:t>issuers</w:t>
      </w:r>
      <w:proofErr w:type="gramEnd"/>
      <w:r w:rsidR="00A03845">
        <w:rPr>
          <w:rFonts w:ascii="Calibri" w:hAnsi="Calibri" w:cs="Calibri"/>
          <w:bCs/>
          <w:color w:val="002151"/>
          <w:w w:val="110"/>
          <w:kern w:val="20"/>
          <w:szCs w:val="20"/>
        </w:rPr>
        <w:t xml:space="preserve"> and their underwriters,</w:t>
      </w:r>
      <w:r>
        <w:rPr>
          <w:rFonts w:ascii="Calibri" w:hAnsi="Calibri" w:cs="Calibri"/>
          <w:bCs/>
          <w:color w:val="002151"/>
          <w:w w:val="110"/>
          <w:kern w:val="20"/>
          <w:szCs w:val="20"/>
        </w:rPr>
        <w:t xml:space="preserve"> but it </w:t>
      </w:r>
      <w:r w:rsidR="00A03845">
        <w:rPr>
          <w:rFonts w:ascii="Calibri" w:hAnsi="Calibri" w:cs="Calibri"/>
          <w:bCs/>
          <w:color w:val="002151"/>
          <w:w w:val="110"/>
          <w:kern w:val="20"/>
          <w:szCs w:val="20"/>
        </w:rPr>
        <w:t>reduces</w:t>
      </w:r>
      <w:r>
        <w:rPr>
          <w:rFonts w:ascii="Calibri" w:hAnsi="Calibri" w:cs="Calibri"/>
          <w:bCs/>
          <w:color w:val="002151"/>
          <w:w w:val="110"/>
          <w:kern w:val="20"/>
          <w:szCs w:val="20"/>
        </w:rPr>
        <w:t xml:space="preserve"> trust in</w:t>
      </w:r>
      <w:r w:rsidR="00A03845">
        <w:rPr>
          <w:rFonts w:ascii="Calibri" w:hAnsi="Calibri" w:cs="Calibri"/>
          <w:bCs/>
          <w:color w:val="002151"/>
          <w:w w:val="110"/>
          <w:kern w:val="20"/>
          <w:szCs w:val="20"/>
        </w:rPr>
        <w:t xml:space="preserve"> the capital raising process and </w:t>
      </w:r>
      <w:r>
        <w:rPr>
          <w:rFonts w:ascii="Calibri" w:hAnsi="Calibri" w:cs="Calibri"/>
          <w:bCs/>
          <w:color w:val="002151"/>
          <w:w w:val="110"/>
          <w:kern w:val="20"/>
          <w:szCs w:val="20"/>
        </w:rPr>
        <w:t xml:space="preserve">UK capital markets </w:t>
      </w:r>
      <w:r w:rsidR="00A03845">
        <w:rPr>
          <w:rFonts w:ascii="Calibri" w:hAnsi="Calibri" w:cs="Calibri"/>
          <w:bCs/>
          <w:color w:val="002151"/>
          <w:w w:val="110"/>
          <w:kern w:val="20"/>
          <w:szCs w:val="20"/>
        </w:rPr>
        <w:t>more generally. It also detracts from</w:t>
      </w:r>
      <w:r w:rsidR="005309BF">
        <w:rPr>
          <w:rFonts w:ascii="Calibri" w:hAnsi="Calibri" w:cs="Calibri"/>
          <w:bCs/>
          <w:color w:val="002151"/>
          <w:w w:val="110"/>
          <w:kern w:val="20"/>
          <w:szCs w:val="20"/>
        </w:rPr>
        <w:t xml:space="preserve"> the attractiveness of London as a </w:t>
      </w:r>
      <w:proofErr w:type="gramStart"/>
      <w:r w:rsidR="005309BF">
        <w:rPr>
          <w:rFonts w:ascii="Calibri" w:hAnsi="Calibri" w:cs="Calibri"/>
          <w:bCs/>
          <w:color w:val="002151"/>
          <w:w w:val="110"/>
          <w:kern w:val="20"/>
          <w:szCs w:val="20"/>
        </w:rPr>
        <w:t>listings</w:t>
      </w:r>
      <w:proofErr w:type="gramEnd"/>
      <w:r w:rsidR="005309BF">
        <w:rPr>
          <w:rFonts w:ascii="Calibri" w:hAnsi="Calibri" w:cs="Calibri"/>
          <w:bCs/>
          <w:color w:val="002151"/>
          <w:w w:val="110"/>
          <w:kern w:val="20"/>
          <w:szCs w:val="20"/>
        </w:rPr>
        <w:t xml:space="preserve"> venue, especially for high-growth companies who will often undergo capital raisings as their business grows. </w:t>
      </w:r>
    </w:p>
    <w:p w14:paraId="65AB9738" w14:textId="4797DCAA" w:rsidR="007627FE" w:rsidRDefault="00A03845" w:rsidP="009D38E9">
      <w:pPr>
        <w:rPr>
          <w:rFonts w:ascii="Calibri" w:hAnsi="Calibri" w:cs="Calibri"/>
          <w:bCs/>
          <w:color w:val="002151"/>
          <w:w w:val="110"/>
          <w:kern w:val="20"/>
          <w:szCs w:val="20"/>
        </w:rPr>
      </w:pPr>
      <w:r>
        <w:rPr>
          <w:rFonts w:ascii="Calibri" w:hAnsi="Calibri" w:cs="Calibri"/>
          <w:bCs/>
          <w:color w:val="002151"/>
          <w:w w:val="110"/>
          <w:kern w:val="20"/>
          <w:szCs w:val="20"/>
        </w:rPr>
        <w:t xml:space="preserve">Whilst short-selling may play a role in assisting price discovery and contribute to prices more reflective of a </w:t>
      </w:r>
      <w:proofErr w:type="spellStart"/>
      <w:r>
        <w:rPr>
          <w:rFonts w:ascii="Calibri" w:hAnsi="Calibri" w:cs="Calibri"/>
          <w:bCs/>
          <w:color w:val="002151"/>
          <w:w w:val="110"/>
          <w:kern w:val="20"/>
          <w:szCs w:val="20"/>
        </w:rPr>
        <w:t>companies</w:t>
      </w:r>
      <w:proofErr w:type="spellEnd"/>
      <w:r>
        <w:rPr>
          <w:rFonts w:ascii="Calibri" w:hAnsi="Calibri" w:cs="Calibri"/>
          <w:bCs/>
          <w:color w:val="002151"/>
          <w:w w:val="110"/>
          <w:kern w:val="20"/>
          <w:szCs w:val="20"/>
        </w:rPr>
        <w:t xml:space="preserve"> true value in </w:t>
      </w:r>
      <w:proofErr w:type="gramStart"/>
      <w:r>
        <w:rPr>
          <w:rFonts w:ascii="Calibri" w:hAnsi="Calibri" w:cs="Calibri"/>
          <w:bCs/>
          <w:color w:val="002151"/>
          <w:w w:val="110"/>
          <w:kern w:val="20"/>
          <w:szCs w:val="20"/>
        </w:rPr>
        <w:t xml:space="preserve">normal </w:t>
      </w:r>
      <w:r w:rsidR="00F70B11">
        <w:rPr>
          <w:rFonts w:ascii="Calibri" w:hAnsi="Calibri" w:cs="Calibri"/>
          <w:bCs/>
          <w:color w:val="002151"/>
          <w:w w:val="110"/>
          <w:kern w:val="20"/>
          <w:szCs w:val="20"/>
        </w:rPr>
        <w:t xml:space="preserve"> market</w:t>
      </w:r>
      <w:proofErr w:type="gramEnd"/>
      <w:r w:rsidR="00F70B11">
        <w:rPr>
          <w:rFonts w:ascii="Calibri" w:hAnsi="Calibri" w:cs="Calibri"/>
          <w:bCs/>
          <w:color w:val="002151"/>
          <w:w w:val="110"/>
          <w:kern w:val="20"/>
          <w:szCs w:val="20"/>
        </w:rPr>
        <w:t xml:space="preserve"> </w:t>
      </w:r>
      <w:r>
        <w:rPr>
          <w:rFonts w:ascii="Calibri" w:hAnsi="Calibri" w:cs="Calibri"/>
          <w:bCs/>
          <w:color w:val="002151"/>
          <w:w w:val="110"/>
          <w:kern w:val="20"/>
          <w:szCs w:val="20"/>
        </w:rPr>
        <w:t>conditions, it</w:t>
      </w:r>
      <w:r w:rsidR="00F70B11">
        <w:rPr>
          <w:rFonts w:ascii="Calibri" w:hAnsi="Calibri" w:cs="Calibri"/>
          <w:bCs/>
          <w:color w:val="002151"/>
          <w:w w:val="110"/>
          <w:kern w:val="20"/>
          <w:szCs w:val="20"/>
        </w:rPr>
        <w:t xml:space="preserve"> </w:t>
      </w:r>
      <w:r>
        <w:rPr>
          <w:rFonts w:ascii="Calibri" w:hAnsi="Calibri" w:cs="Calibri"/>
          <w:bCs/>
          <w:color w:val="002151"/>
          <w:w w:val="110"/>
          <w:kern w:val="20"/>
          <w:szCs w:val="20"/>
        </w:rPr>
        <w:t xml:space="preserve">is increasingly questionable whether this is true during a rights issue, and it may be claimed that short-selling </w:t>
      </w:r>
      <w:r w:rsidR="005B3326">
        <w:rPr>
          <w:rFonts w:ascii="Calibri" w:hAnsi="Calibri" w:cs="Calibri"/>
          <w:bCs/>
          <w:color w:val="002151"/>
          <w:w w:val="110"/>
          <w:kern w:val="20"/>
          <w:szCs w:val="20"/>
        </w:rPr>
        <w:t>practices during a rights issue lead to more distorted pricing.</w:t>
      </w:r>
      <w:r>
        <w:rPr>
          <w:rFonts w:ascii="Calibri" w:hAnsi="Calibri" w:cs="Calibri"/>
          <w:bCs/>
          <w:color w:val="002151"/>
          <w:w w:val="110"/>
          <w:kern w:val="20"/>
          <w:szCs w:val="20"/>
        </w:rPr>
        <w:t xml:space="preserve"> </w:t>
      </w:r>
    </w:p>
    <w:p w14:paraId="1CED64BE" w14:textId="77777777" w:rsidR="007627FE" w:rsidRPr="00582B6E" w:rsidRDefault="007627FE" w:rsidP="007627FE">
      <w:pPr>
        <w:rPr>
          <w:rFonts w:ascii="Calibri" w:hAnsi="Calibri" w:cs="Calibri"/>
          <w:b/>
          <w:color w:val="002151"/>
          <w:w w:val="110"/>
          <w:kern w:val="20"/>
          <w:szCs w:val="20"/>
          <w:highlight w:val="yellow"/>
        </w:rPr>
      </w:pPr>
      <w:r w:rsidRPr="00582B6E">
        <w:rPr>
          <w:rFonts w:ascii="Calibri" w:hAnsi="Calibri" w:cs="Calibri"/>
          <w:b/>
          <w:color w:val="002151"/>
          <w:w w:val="110"/>
          <w:kern w:val="20"/>
          <w:szCs w:val="20"/>
          <w:highlight w:val="yellow"/>
        </w:rPr>
        <w:t>In response to these concerns some members have suggested a ban on short-selling during a rights-issue should be implemented.</w:t>
      </w:r>
    </w:p>
    <w:p w14:paraId="49A8F2E5" w14:textId="12FEFA95" w:rsidR="007627FE" w:rsidRPr="00582B6E" w:rsidRDefault="007627FE" w:rsidP="007627FE">
      <w:pPr>
        <w:pStyle w:val="ListParagraph"/>
        <w:numPr>
          <w:ilvl w:val="0"/>
          <w:numId w:val="6"/>
        </w:numPr>
        <w:rPr>
          <w:rFonts w:cs="Calibri"/>
          <w:b/>
          <w:highlight w:val="yellow"/>
        </w:rPr>
      </w:pPr>
      <w:r w:rsidRPr="00582B6E">
        <w:rPr>
          <w:rFonts w:cs="Calibri"/>
          <w:b/>
          <w:highlight w:val="yellow"/>
        </w:rPr>
        <w:t>Do members have any views on such a ban?</w:t>
      </w:r>
    </w:p>
    <w:p w14:paraId="6E60AD3F" w14:textId="3B0D37E2" w:rsidR="007627FE" w:rsidRPr="00582B6E" w:rsidRDefault="007627FE" w:rsidP="007627FE">
      <w:pPr>
        <w:pStyle w:val="ListParagraph"/>
        <w:numPr>
          <w:ilvl w:val="0"/>
          <w:numId w:val="6"/>
        </w:numPr>
        <w:rPr>
          <w:rFonts w:cs="Calibri"/>
          <w:b/>
          <w:highlight w:val="yellow"/>
        </w:rPr>
      </w:pPr>
      <w:r w:rsidRPr="00582B6E">
        <w:rPr>
          <w:rFonts w:cs="Calibri"/>
          <w:b/>
          <w:highlight w:val="yellow"/>
        </w:rPr>
        <w:t>In lieu of a ban, do members believe that there should be restrictions on the activities of short sellers during a rights issue?</w:t>
      </w:r>
    </w:p>
    <w:p w14:paraId="6C7BF984" w14:textId="77777777" w:rsidR="00017604" w:rsidRPr="002D7288" w:rsidRDefault="00017604" w:rsidP="002D7288">
      <w:pPr>
        <w:rPr>
          <w:rFonts w:cs="Calibri"/>
          <w:b/>
        </w:rPr>
      </w:pPr>
    </w:p>
    <w:p w14:paraId="2772429E" w14:textId="3743C9DF" w:rsidR="00E06D9E" w:rsidRDefault="002D2FFD" w:rsidP="00E06D9E">
      <w:pPr>
        <w:pStyle w:val="ListParagraph"/>
        <w:numPr>
          <w:ilvl w:val="0"/>
          <w:numId w:val="2"/>
        </w:numPr>
        <w:rPr>
          <w:rFonts w:cs="Calibri"/>
          <w:b/>
        </w:rPr>
      </w:pPr>
      <w:r w:rsidRPr="0062156C">
        <w:rPr>
          <w:rFonts w:cs="Calibri"/>
          <w:b/>
        </w:rPr>
        <w:t xml:space="preserve">Are there any refinements that should be made to the undocumented secondary capital raising process </w:t>
      </w:r>
      <w:proofErr w:type="gramStart"/>
      <w:r w:rsidRPr="0062156C">
        <w:rPr>
          <w:rFonts w:cs="Calibri"/>
          <w:b/>
        </w:rPr>
        <w:t>in light of</w:t>
      </w:r>
      <w:proofErr w:type="gramEnd"/>
      <w:r w:rsidRPr="0062156C">
        <w:rPr>
          <w:rFonts w:cs="Calibri"/>
          <w:b/>
        </w:rPr>
        <w:t xml:space="preserve"> recent experiences during the Covid-19 pandemic? </w:t>
      </w:r>
    </w:p>
    <w:p w14:paraId="3EA43578" w14:textId="77777777" w:rsidR="002B570E" w:rsidRPr="002B570E" w:rsidRDefault="002B570E" w:rsidP="002B570E">
      <w:pPr>
        <w:pStyle w:val="ListParagraph"/>
        <w:rPr>
          <w:rFonts w:cs="Calibri"/>
          <w:b/>
        </w:rPr>
      </w:pPr>
    </w:p>
    <w:p w14:paraId="6EA19186" w14:textId="49C361DD" w:rsidR="00F92666" w:rsidRDefault="005E7248" w:rsidP="004C11DC">
      <w:pPr>
        <w:rPr>
          <w:rFonts w:ascii="Calibri" w:hAnsi="Calibri" w:cs="Calibri"/>
          <w:bCs/>
          <w:color w:val="002151"/>
          <w:w w:val="110"/>
          <w:kern w:val="20"/>
          <w:szCs w:val="20"/>
        </w:rPr>
      </w:pPr>
      <w:r>
        <w:rPr>
          <w:rFonts w:ascii="Calibri" w:hAnsi="Calibri" w:cs="Calibri"/>
          <w:bCs/>
          <w:color w:val="002151"/>
          <w:w w:val="110"/>
          <w:kern w:val="20"/>
          <w:szCs w:val="20"/>
        </w:rPr>
        <w:t xml:space="preserve">As mentioned </w:t>
      </w:r>
      <w:r w:rsidR="00AE604B">
        <w:rPr>
          <w:rFonts w:ascii="Calibri" w:hAnsi="Calibri" w:cs="Calibri"/>
          <w:bCs/>
          <w:color w:val="002151"/>
          <w:w w:val="110"/>
          <w:kern w:val="20"/>
          <w:szCs w:val="20"/>
        </w:rPr>
        <w:t>above, p</w:t>
      </w:r>
      <w:r w:rsidR="004C11DC" w:rsidRPr="004C11DC">
        <w:rPr>
          <w:rFonts w:ascii="Calibri" w:hAnsi="Calibri" w:cs="Calibri"/>
          <w:bCs/>
          <w:color w:val="002151"/>
          <w:w w:val="110"/>
          <w:kern w:val="20"/>
          <w:szCs w:val="20"/>
        </w:rPr>
        <w:t xml:space="preserve">ublic markets demonstrated their effectiveness, </w:t>
      </w:r>
      <w:proofErr w:type="gramStart"/>
      <w:r w:rsidR="004C11DC" w:rsidRPr="004C11DC">
        <w:rPr>
          <w:rFonts w:ascii="Calibri" w:hAnsi="Calibri" w:cs="Calibri"/>
          <w:bCs/>
          <w:color w:val="002151"/>
          <w:w w:val="110"/>
          <w:kern w:val="20"/>
          <w:szCs w:val="20"/>
        </w:rPr>
        <w:t>depth</w:t>
      </w:r>
      <w:proofErr w:type="gramEnd"/>
      <w:r w:rsidR="004C11DC" w:rsidRPr="004C11DC">
        <w:rPr>
          <w:rFonts w:ascii="Calibri" w:hAnsi="Calibri" w:cs="Calibri"/>
          <w:bCs/>
          <w:color w:val="002151"/>
          <w:w w:val="110"/>
          <w:kern w:val="20"/>
          <w:szCs w:val="20"/>
        </w:rPr>
        <w:t xml:space="preserve"> and resilience during the covid-19 pandemic, with listed companies able to use the flexibility provided by investors to use undocumented secondary capital raising frameworks to raise funds to support their financial resilience during this period of uncertainty at pace. </w:t>
      </w:r>
      <w:r w:rsidR="00F92666">
        <w:rPr>
          <w:rFonts w:ascii="Calibri" w:hAnsi="Calibri" w:cs="Calibri"/>
          <w:bCs/>
          <w:color w:val="002151"/>
          <w:w w:val="110"/>
          <w:kern w:val="20"/>
          <w:szCs w:val="20"/>
        </w:rPr>
        <w:t xml:space="preserve">This experience also demonstrated that </w:t>
      </w:r>
      <w:r w:rsidR="00FC4838">
        <w:rPr>
          <w:rFonts w:ascii="Calibri" w:hAnsi="Calibri" w:cs="Calibri"/>
          <w:bCs/>
          <w:color w:val="002151"/>
          <w:w w:val="110"/>
          <w:kern w:val="20"/>
          <w:szCs w:val="20"/>
        </w:rPr>
        <w:t xml:space="preserve">shareholders were willing to support issuers </w:t>
      </w:r>
      <w:r w:rsidR="0039186B">
        <w:rPr>
          <w:rFonts w:ascii="Calibri" w:hAnsi="Calibri" w:cs="Calibri"/>
          <w:bCs/>
          <w:color w:val="002151"/>
          <w:w w:val="110"/>
          <w:kern w:val="20"/>
          <w:szCs w:val="20"/>
        </w:rPr>
        <w:t>throug</w:t>
      </w:r>
      <w:r w:rsidR="00727670">
        <w:rPr>
          <w:rFonts w:ascii="Calibri" w:hAnsi="Calibri" w:cs="Calibri"/>
          <w:bCs/>
          <w:color w:val="002151"/>
          <w:w w:val="110"/>
          <w:kern w:val="20"/>
          <w:szCs w:val="20"/>
        </w:rPr>
        <w:t>h</w:t>
      </w:r>
      <w:r w:rsidR="0039186B">
        <w:rPr>
          <w:rFonts w:ascii="Calibri" w:hAnsi="Calibri" w:cs="Calibri"/>
          <w:bCs/>
          <w:color w:val="002151"/>
          <w:w w:val="110"/>
          <w:kern w:val="20"/>
          <w:szCs w:val="20"/>
        </w:rPr>
        <w:t xml:space="preserve"> a capital raise with</w:t>
      </w:r>
      <w:r w:rsidR="00727670">
        <w:rPr>
          <w:rFonts w:ascii="Calibri" w:hAnsi="Calibri" w:cs="Calibri"/>
          <w:bCs/>
          <w:color w:val="002151"/>
          <w:w w:val="110"/>
          <w:kern w:val="20"/>
          <w:szCs w:val="20"/>
        </w:rPr>
        <w:t xml:space="preserve">out the prior publication of a full prospectus. </w:t>
      </w:r>
      <w:r w:rsidR="00CF4A12">
        <w:rPr>
          <w:rFonts w:ascii="Calibri" w:hAnsi="Calibri" w:cs="Calibri"/>
          <w:bCs/>
          <w:color w:val="002151"/>
          <w:w w:val="110"/>
          <w:kern w:val="20"/>
          <w:szCs w:val="20"/>
        </w:rPr>
        <w:t xml:space="preserve">For </w:t>
      </w:r>
      <w:proofErr w:type="gramStart"/>
      <w:r w:rsidR="00CF4A12">
        <w:rPr>
          <w:rFonts w:ascii="Calibri" w:hAnsi="Calibri" w:cs="Calibri"/>
          <w:bCs/>
          <w:color w:val="002151"/>
          <w:w w:val="110"/>
          <w:kern w:val="20"/>
          <w:szCs w:val="20"/>
        </w:rPr>
        <w:t>the majority of</w:t>
      </w:r>
      <w:proofErr w:type="gramEnd"/>
      <w:r w:rsidR="00CF4A12">
        <w:rPr>
          <w:rFonts w:ascii="Calibri" w:hAnsi="Calibri" w:cs="Calibri"/>
          <w:bCs/>
          <w:color w:val="002151"/>
          <w:w w:val="110"/>
          <w:kern w:val="20"/>
          <w:szCs w:val="20"/>
        </w:rPr>
        <w:t xml:space="preserve"> these transactions, investors were willing to permit and participate in the offerings </w:t>
      </w:r>
      <w:r w:rsidR="00CF4A12" w:rsidRPr="00CD5D07">
        <w:rPr>
          <w:rFonts w:ascii="Calibri" w:hAnsi="Calibri" w:cs="Calibri"/>
          <w:bCs/>
          <w:color w:val="002151"/>
          <w:w w:val="110"/>
          <w:kern w:val="20"/>
          <w:szCs w:val="20"/>
        </w:rPr>
        <w:t xml:space="preserve">with only the publication of a trading update </w:t>
      </w:r>
      <w:r w:rsidR="00CF4A12">
        <w:rPr>
          <w:rFonts w:ascii="Calibri" w:hAnsi="Calibri" w:cs="Calibri"/>
          <w:bCs/>
          <w:color w:val="002151"/>
          <w:w w:val="110"/>
          <w:kern w:val="20"/>
          <w:szCs w:val="20"/>
        </w:rPr>
        <w:t>a</w:t>
      </w:r>
      <w:r w:rsidR="00CF4A12" w:rsidRPr="004837C9">
        <w:rPr>
          <w:rFonts w:ascii="Calibri" w:hAnsi="Calibri" w:cs="Calibri"/>
          <w:bCs/>
          <w:color w:val="002151"/>
          <w:w w:val="110"/>
          <w:kern w:val="20"/>
          <w:szCs w:val="20"/>
        </w:rPr>
        <w:t>long with investor</w:t>
      </w:r>
      <w:r w:rsidR="00CF4A12">
        <w:rPr>
          <w:rFonts w:ascii="Calibri" w:hAnsi="Calibri" w:cs="Calibri"/>
          <w:bCs/>
          <w:color w:val="002151"/>
          <w:w w:val="110"/>
          <w:kern w:val="20"/>
          <w:szCs w:val="20"/>
        </w:rPr>
        <w:t>-issuer</w:t>
      </w:r>
      <w:r w:rsidR="00CF4A12" w:rsidRPr="004837C9">
        <w:rPr>
          <w:rFonts w:ascii="Calibri" w:hAnsi="Calibri" w:cs="Calibri"/>
          <w:bCs/>
          <w:color w:val="002151"/>
          <w:w w:val="110"/>
          <w:kern w:val="20"/>
          <w:szCs w:val="20"/>
        </w:rPr>
        <w:t xml:space="preserve"> dialogue, this provided sufficient information for investors to make informed investment decisions.</w:t>
      </w:r>
    </w:p>
    <w:p w14:paraId="5B66EC71" w14:textId="431D29BA" w:rsidR="00EC010D" w:rsidRDefault="00CB0816" w:rsidP="00CB0816">
      <w:pPr>
        <w:rPr>
          <w:rFonts w:ascii="Calibri" w:hAnsi="Calibri" w:cs="Calibri"/>
          <w:bCs/>
          <w:color w:val="002151"/>
          <w:w w:val="110"/>
          <w:kern w:val="20"/>
          <w:szCs w:val="20"/>
        </w:rPr>
      </w:pPr>
      <w:r>
        <w:rPr>
          <w:rFonts w:ascii="Calibri" w:hAnsi="Calibri" w:cs="Calibri"/>
          <w:bCs/>
          <w:color w:val="002151"/>
          <w:w w:val="110"/>
          <w:kern w:val="20"/>
          <w:szCs w:val="20"/>
        </w:rPr>
        <w:t>Whilst t</w:t>
      </w:r>
      <w:r w:rsidR="00315A86">
        <w:rPr>
          <w:rFonts w:ascii="Calibri" w:hAnsi="Calibri" w:cs="Calibri"/>
          <w:bCs/>
          <w:color w:val="002151"/>
          <w:w w:val="110"/>
          <w:kern w:val="20"/>
          <w:szCs w:val="20"/>
        </w:rPr>
        <w:t xml:space="preserve">he use of undocumented secondary capital </w:t>
      </w:r>
      <w:r>
        <w:rPr>
          <w:rFonts w:ascii="Calibri" w:hAnsi="Calibri" w:cs="Calibri"/>
          <w:bCs/>
          <w:color w:val="002151"/>
          <w:w w:val="110"/>
          <w:kern w:val="20"/>
          <w:szCs w:val="20"/>
        </w:rPr>
        <w:t xml:space="preserve">raisings worked relatively well during the pandemic with </w:t>
      </w:r>
      <w:proofErr w:type="gramStart"/>
      <w:r>
        <w:rPr>
          <w:rFonts w:ascii="Calibri" w:hAnsi="Calibri" w:cs="Calibri"/>
          <w:bCs/>
          <w:color w:val="002151"/>
          <w:w w:val="110"/>
          <w:kern w:val="20"/>
          <w:szCs w:val="20"/>
        </w:rPr>
        <w:t>the majority of</w:t>
      </w:r>
      <w:proofErr w:type="gramEnd"/>
      <w:r>
        <w:rPr>
          <w:rFonts w:ascii="Calibri" w:hAnsi="Calibri" w:cs="Calibri"/>
          <w:bCs/>
          <w:color w:val="002151"/>
          <w:w w:val="110"/>
          <w:kern w:val="20"/>
          <w:szCs w:val="20"/>
        </w:rPr>
        <w:t xml:space="preserve"> issuers respecting the</w:t>
      </w:r>
      <w:r w:rsidRPr="006E7693">
        <w:rPr>
          <w:rFonts w:ascii="Calibri" w:hAnsi="Calibri" w:cs="Calibri"/>
          <w:bCs/>
          <w:color w:val="002151"/>
          <w:w w:val="110"/>
          <w:kern w:val="20"/>
          <w:szCs w:val="20"/>
        </w:rPr>
        <w:t xml:space="preserve"> principle of pre-emption</w:t>
      </w:r>
      <w:r>
        <w:rPr>
          <w:rFonts w:ascii="Calibri" w:hAnsi="Calibri" w:cs="Calibri"/>
          <w:bCs/>
          <w:color w:val="002151"/>
          <w:w w:val="110"/>
          <w:kern w:val="20"/>
          <w:szCs w:val="20"/>
        </w:rPr>
        <w:t>, making</w:t>
      </w:r>
      <w:r w:rsidRPr="006E7693">
        <w:rPr>
          <w:rFonts w:ascii="Calibri" w:hAnsi="Calibri" w:cs="Calibri"/>
          <w:bCs/>
          <w:color w:val="002151"/>
          <w:w w:val="110"/>
          <w:kern w:val="20"/>
          <w:szCs w:val="20"/>
        </w:rPr>
        <w:t xml:space="preserve"> efforts to support retail investors to participate in these capital </w:t>
      </w:r>
      <w:r>
        <w:rPr>
          <w:rFonts w:ascii="Calibri" w:hAnsi="Calibri" w:cs="Calibri"/>
          <w:bCs/>
          <w:color w:val="002151"/>
          <w:w w:val="110"/>
          <w:kern w:val="20"/>
          <w:szCs w:val="20"/>
        </w:rPr>
        <w:t>raising</w:t>
      </w:r>
      <w:r w:rsidR="00D3167D">
        <w:rPr>
          <w:rFonts w:ascii="Calibri" w:hAnsi="Calibri" w:cs="Calibri"/>
          <w:bCs/>
          <w:color w:val="002151"/>
          <w:w w:val="110"/>
          <w:kern w:val="20"/>
          <w:szCs w:val="20"/>
        </w:rPr>
        <w:t>s</w:t>
      </w:r>
      <w:r>
        <w:rPr>
          <w:rFonts w:ascii="Calibri" w:hAnsi="Calibri" w:cs="Calibri"/>
          <w:bCs/>
          <w:color w:val="002151"/>
          <w:w w:val="110"/>
          <w:kern w:val="20"/>
          <w:szCs w:val="20"/>
        </w:rPr>
        <w:t>, this should not be seen as a permanent solution.</w:t>
      </w:r>
      <w:r w:rsidR="00D3167D">
        <w:rPr>
          <w:rFonts w:ascii="Calibri" w:hAnsi="Calibri" w:cs="Calibri"/>
          <w:bCs/>
          <w:color w:val="002151"/>
          <w:w w:val="110"/>
          <w:kern w:val="20"/>
          <w:szCs w:val="20"/>
        </w:rPr>
        <w:t xml:space="preserve"> Instead</w:t>
      </w:r>
      <w:r w:rsidR="00C703AD">
        <w:rPr>
          <w:rFonts w:ascii="Calibri" w:hAnsi="Calibri" w:cs="Calibri"/>
          <w:bCs/>
          <w:color w:val="002151"/>
          <w:w w:val="110"/>
          <w:kern w:val="20"/>
          <w:szCs w:val="20"/>
        </w:rPr>
        <w:t>,</w:t>
      </w:r>
      <w:r w:rsidR="00D3167D">
        <w:rPr>
          <w:rFonts w:ascii="Calibri" w:hAnsi="Calibri" w:cs="Calibri"/>
          <w:bCs/>
          <w:color w:val="002151"/>
          <w:w w:val="110"/>
          <w:kern w:val="20"/>
          <w:szCs w:val="20"/>
        </w:rPr>
        <w:t xml:space="preserve"> issuers should be ab</w:t>
      </w:r>
      <w:r w:rsidR="008C0DEA">
        <w:rPr>
          <w:rFonts w:ascii="Calibri" w:hAnsi="Calibri" w:cs="Calibri"/>
          <w:bCs/>
          <w:color w:val="002151"/>
          <w:w w:val="110"/>
          <w:kern w:val="20"/>
          <w:szCs w:val="20"/>
        </w:rPr>
        <w:t xml:space="preserve">le to raise capital from issuers at speed through a </w:t>
      </w:r>
      <w:r>
        <w:rPr>
          <w:rFonts w:ascii="Calibri" w:hAnsi="Calibri" w:cs="Calibri"/>
          <w:bCs/>
          <w:color w:val="002151"/>
          <w:w w:val="110"/>
          <w:kern w:val="20"/>
          <w:szCs w:val="20"/>
        </w:rPr>
        <w:t>fully pre-emptive rights issues, thereby protecting minority shareholder from dilution</w:t>
      </w:r>
      <w:r w:rsidR="008C0DEA">
        <w:rPr>
          <w:rFonts w:ascii="Calibri" w:hAnsi="Calibri" w:cs="Calibri"/>
          <w:bCs/>
          <w:color w:val="002151"/>
          <w:w w:val="110"/>
          <w:kern w:val="20"/>
          <w:szCs w:val="20"/>
        </w:rPr>
        <w:t>.</w:t>
      </w:r>
    </w:p>
    <w:p w14:paraId="79883028" w14:textId="14459FAE" w:rsidR="006E7693" w:rsidRDefault="00CB0816" w:rsidP="00582B6E">
      <w:pPr>
        <w:rPr>
          <w:rFonts w:ascii="Calibri" w:hAnsi="Calibri" w:cs="Calibri"/>
          <w:bCs/>
          <w:color w:val="002151"/>
          <w:w w:val="110"/>
          <w:kern w:val="20"/>
          <w:szCs w:val="20"/>
        </w:rPr>
      </w:pPr>
      <w:r>
        <w:rPr>
          <w:rFonts w:ascii="Calibri" w:hAnsi="Calibri" w:cs="Calibri"/>
          <w:bCs/>
          <w:color w:val="002151"/>
          <w:w w:val="110"/>
          <w:kern w:val="20"/>
          <w:szCs w:val="20"/>
        </w:rPr>
        <w:t>I</w:t>
      </w:r>
      <w:r w:rsidRPr="006E7693">
        <w:rPr>
          <w:rFonts w:ascii="Calibri" w:hAnsi="Calibri" w:cs="Calibri"/>
          <w:bCs/>
          <w:color w:val="002151"/>
          <w:w w:val="110"/>
          <w:kern w:val="20"/>
          <w:szCs w:val="20"/>
        </w:rPr>
        <w:t xml:space="preserve">nvestors supported extra flexibilities for larger non-pre-emptive issuances for companies seeking to raise capital at pace </w:t>
      </w:r>
      <w:r>
        <w:rPr>
          <w:rFonts w:ascii="Calibri" w:hAnsi="Calibri" w:cs="Calibri"/>
          <w:bCs/>
          <w:color w:val="002151"/>
          <w:w w:val="110"/>
          <w:kern w:val="20"/>
          <w:szCs w:val="20"/>
        </w:rPr>
        <w:t>due</w:t>
      </w:r>
      <w:r w:rsidRPr="006E7693">
        <w:rPr>
          <w:rFonts w:ascii="Calibri" w:hAnsi="Calibri" w:cs="Calibri"/>
          <w:bCs/>
          <w:color w:val="002151"/>
          <w:w w:val="110"/>
          <w:kern w:val="20"/>
          <w:szCs w:val="20"/>
        </w:rPr>
        <w:t xml:space="preserve"> to uncertainties caused by the pandemic</w:t>
      </w:r>
      <w:r>
        <w:rPr>
          <w:rFonts w:ascii="Calibri" w:hAnsi="Calibri" w:cs="Calibri"/>
          <w:bCs/>
          <w:color w:val="002151"/>
          <w:w w:val="110"/>
          <w:kern w:val="20"/>
          <w:szCs w:val="20"/>
        </w:rPr>
        <w:t xml:space="preserve">, but we note </w:t>
      </w:r>
      <w:r>
        <w:rPr>
          <w:rFonts w:ascii="Calibri" w:hAnsi="Calibri" w:cs="Calibri"/>
          <w:bCs/>
          <w:color w:val="002151"/>
          <w:w w:val="110"/>
          <w:kern w:val="20"/>
          <w:szCs w:val="20"/>
        </w:rPr>
        <w:lastRenderedPageBreak/>
        <w:t>that these flexibilities are unlikely to be supported outside of those exceptional circumstances.</w:t>
      </w:r>
    </w:p>
    <w:p w14:paraId="2163EFD1" w14:textId="128D4D2B" w:rsidR="004C5B70" w:rsidRDefault="00F70B11" w:rsidP="00582B6E">
      <w:pPr>
        <w:rPr>
          <w:rFonts w:ascii="Calibri" w:hAnsi="Calibri" w:cs="Calibri"/>
          <w:bCs/>
          <w:color w:val="002151"/>
          <w:w w:val="110"/>
          <w:kern w:val="20"/>
          <w:szCs w:val="20"/>
        </w:rPr>
      </w:pPr>
      <w:r>
        <w:rPr>
          <w:rFonts w:ascii="Calibri" w:hAnsi="Calibri" w:cs="Calibri"/>
          <w:bCs/>
          <w:color w:val="002151"/>
          <w:w w:val="110"/>
          <w:kern w:val="20"/>
          <w:szCs w:val="20"/>
        </w:rPr>
        <w:t>Whilst</w:t>
      </w:r>
      <w:r w:rsidR="004C5B70" w:rsidRPr="004C5B70">
        <w:rPr>
          <w:rFonts w:ascii="Calibri" w:hAnsi="Calibri" w:cs="Calibri"/>
          <w:bCs/>
          <w:color w:val="002151"/>
          <w:w w:val="110"/>
          <w:kern w:val="20"/>
          <w:szCs w:val="20"/>
        </w:rPr>
        <w:t xml:space="preserve"> an undocumented secondary capital process or 'cashbox' transaction may be structured as an issuance of equity securities for non-cash consideration falling outside the scope of statutory pre-emption (and S561 of the CA 2006), they nonetheless, have many of the same effects as a </w:t>
      </w:r>
      <w:proofErr w:type="spellStart"/>
      <w:proofErr w:type="gramStart"/>
      <w:r w:rsidR="004C5B70" w:rsidRPr="004C5B70">
        <w:rPr>
          <w:rFonts w:ascii="Calibri" w:hAnsi="Calibri" w:cs="Calibri"/>
          <w:bCs/>
          <w:color w:val="002151"/>
          <w:w w:val="110"/>
          <w:kern w:val="20"/>
          <w:szCs w:val="20"/>
        </w:rPr>
        <w:t>non pre-emptive</w:t>
      </w:r>
      <w:proofErr w:type="spellEnd"/>
      <w:proofErr w:type="gramEnd"/>
      <w:r w:rsidR="004C5B70" w:rsidRPr="004C5B70">
        <w:rPr>
          <w:rFonts w:ascii="Calibri" w:hAnsi="Calibri" w:cs="Calibri"/>
          <w:bCs/>
          <w:color w:val="002151"/>
          <w:w w:val="110"/>
          <w:kern w:val="20"/>
          <w:szCs w:val="20"/>
        </w:rPr>
        <w:t xml:space="preserve"> issuance of equity shares for cash.</w:t>
      </w:r>
    </w:p>
    <w:p w14:paraId="3C52196E" w14:textId="5C78CC39" w:rsidR="002D2FFD" w:rsidRPr="0062156C" w:rsidRDefault="00B566C6" w:rsidP="00EC010D">
      <w:pPr>
        <w:rPr>
          <w:b/>
        </w:rPr>
      </w:pPr>
      <w:r>
        <w:rPr>
          <w:rFonts w:ascii="Calibri" w:hAnsi="Calibri" w:cs="Calibri"/>
          <w:bCs/>
          <w:color w:val="002151"/>
          <w:w w:val="110"/>
          <w:kern w:val="20"/>
          <w:szCs w:val="20"/>
        </w:rPr>
        <w:t xml:space="preserve">The IA believes that a </w:t>
      </w:r>
      <w:r w:rsidR="004C5AE5">
        <w:rPr>
          <w:rFonts w:ascii="Calibri" w:hAnsi="Calibri" w:cs="Calibri"/>
          <w:bCs/>
          <w:color w:val="002151"/>
          <w:w w:val="110"/>
          <w:kern w:val="20"/>
          <w:szCs w:val="20"/>
        </w:rPr>
        <w:t xml:space="preserve">review of the secondary capital raising process should focus primarily on ensuring that the rights issue process should be made as efficient as possible with issuers raising capital at speed </w:t>
      </w:r>
      <w:r w:rsidR="00EF59ED">
        <w:rPr>
          <w:rFonts w:ascii="Calibri" w:hAnsi="Calibri" w:cs="Calibri"/>
          <w:bCs/>
          <w:color w:val="002151"/>
          <w:w w:val="110"/>
          <w:kern w:val="20"/>
          <w:szCs w:val="20"/>
        </w:rPr>
        <w:t>on a fully pre-emptive basis</w:t>
      </w:r>
      <w:r w:rsidR="006C62E9">
        <w:rPr>
          <w:rFonts w:ascii="Calibri" w:hAnsi="Calibri" w:cs="Calibri"/>
          <w:bCs/>
          <w:color w:val="002151"/>
          <w:w w:val="110"/>
          <w:kern w:val="20"/>
          <w:szCs w:val="20"/>
        </w:rPr>
        <w:t xml:space="preserve">, before </w:t>
      </w:r>
      <w:r w:rsidR="00FB77BC">
        <w:rPr>
          <w:rFonts w:ascii="Calibri" w:hAnsi="Calibri" w:cs="Calibri"/>
          <w:bCs/>
          <w:color w:val="002151"/>
          <w:w w:val="110"/>
          <w:kern w:val="20"/>
          <w:szCs w:val="20"/>
        </w:rPr>
        <w:t xml:space="preserve">considering possible </w:t>
      </w:r>
      <w:r w:rsidR="00FB77BC" w:rsidRPr="00FB77BC">
        <w:rPr>
          <w:rFonts w:ascii="Calibri" w:hAnsi="Calibri" w:cs="Calibri"/>
          <w:bCs/>
          <w:color w:val="002151"/>
          <w:w w:val="110"/>
          <w:kern w:val="20"/>
          <w:szCs w:val="20"/>
        </w:rPr>
        <w:t>refinements the undocumented secondary capital raising process</w:t>
      </w:r>
      <w:r w:rsidR="00EF59ED">
        <w:rPr>
          <w:rFonts w:ascii="Calibri" w:hAnsi="Calibri" w:cs="Calibri"/>
          <w:bCs/>
          <w:color w:val="002151"/>
          <w:w w:val="110"/>
          <w:kern w:val="20"/>
          <w:szCs w:val="20"/>
        </w:rPr>
        <w:t>.</w:t>
      </w:r>
    </w:p>
    <w:p w14:paraId="34A66F85" w14:textId="52E653B3" w:rsidR="002D2FFD" w:rsidRDefault="002D2FFD" w:rsidP="0020190C">
      <w:pPr>
        <w:pStyle w:val="ListParagraph"/>
        <w:numPr>
          <w:ilvl w:val="0"/>
          <w:numId w:val="2"/>
        </w:numPr>
        <w:rPr>
          <w:rFonts w:cs="Calibri"/>
          <w:b/>
        </w:rPr>
      </w:pPr>
      <w:r w:rsidRPr="0062156C">
        <w:rPr>
          <w:rFonts w:cs="Calibri"/>
          <w:b/>
        </w:rPr>
        <w:t xml:space="preserve">Are there any other recommendations or points made by the Rights Issue Review Group in 2008 that should be investigated further? </w:t>
      </w:r>
    </w:p>
    <w:p w14:paraId="6925DD74" w14:textId="77777777" w:rsidR="00582B6E" w:rsidRDefault="00582B6E" w:rsidP="00847A4C">
      <w:pPr>
        <w:pStyle w:val="ListParagraph"/>
        <w:rPr>
          <w:rFonts w:cs="Calibri"/>
          <w:b/>
        </w:rPr>
      </w:pPr>
    </w:p>
    <w:p w14:paraId="3C6929E0" w14:textId="4134D891" w:rsidR="00582B6E" w:rsidRPr="00847A4C" w:rsidRDefault="00582B6E" w:rsidP="003328CF">
      <w:pPr>
        <w:rPr>
          <w:rFonts w:ascii="Calibri" w:hAnsi="Calibri" w:cs="Calibri"/>
          <w:bCs/>
          <w:color w:val="002151"/>
          <w:w w:val="110"/>
          <w:kern w:val="20"/>
          <w:szCs w:val="20"/>
        </w:rPr>
      </w:pPr>
      <w:r w:rsidRPr="00847A4C">
        <w:rPr>
          <w:rFonts w:ascii="Calibri" w:hAnsi="Calibri" w:cs="Calibri"/>
          <w:bCs/>
          <w:color w:val="002151"/>
          <w:w w:val="110"/>
          <w:kern w:val="20"/>
          <w:szCs w:val="20"/>
        </w:rPr>
        <w:t xml:space="preserve">We have referred to several of the suggestions of the RIRWG above, namely </w:t>
      </w:r>
      <w:r w:rsidR="00847A4C">
        <w:rPr>
          <w:rFonts w:ascii="Calibri" w:hAnsi="Calibri" w:cs="Calibri"/>
          <w:bCs/>
          <w:color w:val="002151"/>
          <w:w w:val="110"/>
          <w:kern w:val="20"/>
          <w:szCs w:val="20"/>
        </w:rPr>
        <w:t>c</w:t>
      </w:r>
      <w:r w:rsidRPr="00847A4C">
        <w:rPr>
          <w:rFonts w:ascii="Calibri" w:hAnsi="Calibri" w:cs="Calibri"/>
          <w:bCs/>
          <w:color w:val="002151"/>
          <w:w w:val="110"/>
          <w:kern w:val="20"/>
          <w:szCs w:val="20"/>
        </w:rPr>
        <w:t xml:space="preserve">onditional dealing in rights issues in question 1, accelerated rights issue models in question 3, and </w:t>
      </w:r>
      <w:proofErr w:type="gramStart"/>
      <w:r w:rsidRPr="00847A4C">
        <w:rPr>
          <w:rFonts w:ascii="Calibri" w:hAnsi="Calibri" w:cs="Calibri"/>
          <w:bCs/>
          <w:color w:val="002151"/>
          <w:w w:val="110"/>
          <w:kern w:val="20"/>
          <w:szCs w:val="20"/>
        </w:rPr>
        <w:t>short-selling</w:t>
      </w:r>
      <w:proofErr w:type="gramEnd"/>
      <w:r w:rsidRPr="00847A4C">
        <w:rPr>
          <w:rFonts w:ascii="Calibri" w:hAnsi="Calibri" w:cs="Calibri"/>
          <w:bCs/>
          <w:color w:val="002151"/>
          <w:w w:val="110"/>
          <w:kern w:val="20"/>
          <w:szCs w:val="20"/>
        </w:rPr>
        <w:t xml:space="preserve"> in question 4.</w:t>
      </w:r>
      <w:r w:rsidR="006E7693">
        <w:rPr>
          <w:rFonts w:ascii="Calibri" w:hAnsi="Calibri" w:cs="Calibri"/>
          <w:bCs/>
          <w:color w:val="002151"/>
          <w:w w:val="110"/>
          <w:kern w:val="20"/>
          <w:szCs w:val="20"/>
        </w:rPr>
        <w:t xml:space="preserve"> </w:t>
      </w:r>
      <w:r w:rsidR="0024443E">
        <w:rPr>
          <w:rFonts w:ascii="Calibri" w:hAnsi="Calibri" w:cs="Calibri"/>
          <w:bCs/>
          <w:color w:val="002151"/>
          <w:w w:val="110"/>
          <w:kern w:val="20"/>
          <w:szCs w:val="20"/>
        </w:rPr>
        <w:t>Were</w:t>
      </w:r>
      <w:r w:rsidR="00847A4C">
        <w:rPr>
          <w:rFonts w:ascii="Calibri" w:hAnsi="Calibri" w:cs="Calibri"/>
          <w:bCs/>
          <w:color w:val="002151"/>
          <w:w w:val="110"/>
          <w:kern w:val="20"/>
          <w:szCs w:val="20"/>
        </w:rPr>
        <w:t xml:space="preserve"> prospectus requirements amended (as outlined in question 1) to reduce the burden on issuers so that only new and decision-making-useful </w:t>
      </w:r>
      <w:r w:rsidR="0024443E">
        <w:rPr>
          <w:rFonts w:ascii="Calibri" w:hAnsi="Calibri" w:cs="Calibri"/>
          <w:bCs/>
          <w:color w:val="002151"/>
          <w:w w:val="110"/>
          <w:kern w:val="20"/>
          <w:szCs w:val="20"/>
        </w:rPr>
        <w:t xml:space="preserve">information is </w:t>
      </w:r>
      <w:r w:rsidR="00847A4C">
        <w:rPr>
          <w:rFonts w:ascii="Calibri" w:hAnsi="Calibri" w:cs="Calibri"/>
          <w:bCs/>
          <w:color w:val="002151"/>
          <w:w w:val="110"/>
          <w:kern w:val="20"/>
          <w:szCs w:val="20"/>
        </w:rPr>
        <w:t>required it w</w:t>
      </w:r>
      <w:r w:rsidR="003F0598">
        <w:rPr>
          <w:rFonts w:ascii="Calibri" w:hAnsi="Calibri" w:cs="Calibri"/>
          <w:bCs/>
          <w:color w:val="002151"/>
          <w:w w:val="110"/>
          <w:kern w:val="20"/>
          <w:szCs w:val="20"/>
        </w:rPr>
        <w:t>ould address the issue that shelf-registration seeks to resolve</w:t>
      </w:r>
      <w:r w:rsidR="0024443E">
        <w:rPr>
          <w:rFonts w:ascii="Calibri" w:hAnsi="Calibri" w:cs="Calibri"/>
          <w:bCs/>
          <w:color w:val="002151"/>
          <w:w w:val="110"/>
          <w:kern w:val="20"/>
          <w:szCs w:val="20"/>
        </w:rPr>
        <w:t xml:space="preserve"> – addressing the outstanding recommendation</w:t>
      </w:r>
      <w:r w:rsidR="003F0598">
        <w:rPr>
          <w:rFonts w:ascii="Calibri" w:hAnsi="Calibri" w:cs="Calibri"/>
          <w:bCs/>
          <w:color w:val="002151"/>
          <w:w w:val="110"/>
          <w:kern w:val="20"/>
          <w:szCs w:val="20"/>
        </w:rPr>
        <w:t xml:space="preserve">. </w:t>
      </w:r>
    </w:p>
    <w:p w14:paraId="701123FF" w14:textId="77777777" w:rsidR="002D2FFD" w:rsidRPr="0062156C" w:rsidRDefault="002D2FFD" w:rsidP="002D2FFD">
      <w:pPr>
        <w:pStyle w:val="ListParagraph"/>
        <w:rPr>
          <w:rFonts w:cs="Calibri"/>
          <w:b/>
        </w:rPr>
      </w:pPr>
    </w:p>
    <w:p w14:paraId="5C9ECFF1" w14:textId="111CAEB3" w:rsidR="002D2FFD" w:rsidRDefault="002D2FFD" w:rsidP="0020190C">
      <w:pPr>
        <w:pStyle w:val="ListParagraph"/>
        <w:numPr>
          <w:ilvl w:val="0"/>
          <w:numId w:val="2"/>
        </w:numPr>
        <w:rPr>
          <w:rFonts w:cs="Calibri"/>
          <w:b/>
        </w:rPr>
      </w:pPr>
      <w:r w:rsidRPr="0062156C">
        <w:rPr>
          <w:rFonts w:cs="Calibri"/>
          <w:b/>
        </w:rPr>
        <w:t>In what other ways should the secondary capital raising process in the UK be reformed?</w:t>
      </w:r>
    </w:p>
    <w:p w14:paraId="4568A661" w14:textId="77777777" w:rsidR="0020190C" w:rsidRPr="0020190C" w:rsidRDefault="0020190C" w:rsidP="0020190C">
      <w:pPr>
        <w:pStyle w:val="ListParagraph"/>
        <w:rPr>
          <w:rFonts w:cs="Calibri"/>
          <w:b/>
        </w:rPr>
      </w:pPr>
    </w:p>
    <w:p w14:paraId="059363D5" w14:textId="4126A033" w:rsidR="002C33A6" w:rsidRPr="002C33A6" w:rsidRDefault="00582B6E" w:rsidP="002D2FFD">
      <w:pPr>
        <w:rPr>
          <w:b/>
          <w:bCs/>
        </w:rPr>
      </w:pPr>
      <w:r w:rsidRPr="00582B6E">
        <w:rPr>
          <w:b/>
          <w:bCs/>
          <w:highlight w:val="yellow"/>
        </w:rPr>
        <w:t>We welcome member comments</w:t>
      </w:r>
      <w:r w:rsidR="002C33A6">
        <w:rPr>
          <w:b/>
          <w:bCs/>
        </w:rPr>
        <w:t>.</w:t>
      </w:r>
    </w:p>
    <w:sectPr w:rsidR="002C33A6" w:rsidRPr="002C33A6" w:rsidSect="00B17C72">
      <w:headerReference w:type="default" r:id="rId12"/>
      <w:footerReference w:type="default" r:id="rId13"/>
      <w:headerReference w:type="first" r:id="rId14"/>
      <w:footerReference w:type="first" r:id="rId15"/>
      <w:pgSz w:w="11906" w:h="16838" w:code="9"/>
      <w:pgMar w:top="1644" w:right="1474" w:bottom="1247" w:left="1474"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FA9E" w14:textId="77777777" w:rsidR="005B1775" w:rsidRDefault="005B1775" w:rsidP="00B272B5">
      <w:pPr>
        <w:spacing w:after="0" w:line="240" w:lineRule="auto"/>
      </w:pPr>
      <w:r>
        <w:separator/>
      </w:r>
    </w:p>
  </w:endnote>
  <w:endnote w:type="continuationSeparator" w:id="0">
    <w:p w14:paraId="63E62EE5" w14:textId="77777777" w:rsidR="005B1775" w:rsidRDefault="005B1775" w:rsidP="00B272B5">
      <w:pPr>
        <w:spacing w:after="0" w:line="240" w:lineRule="auto"/>
      </w:pPr>
      <w:r>
        <w:continuationSeparator/>
      </w:r>
    </w:p>
  </w:endnote>
  <w:endnote w:type="continuationNotice" w:id="1">
    <w:p w14:paraId="31C64D97" w14:textId="77777777" w:rsidR="005B1775" w:rsidRDefault="005B1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kurat Std">
    <w:panose1 w:val="020B0504020101020102"/>
    <w:charset w:val="00"/>
    <w:family w:val="swiss"/>
    <w:notTrueType/>
    <w:pitch w:val="variable"/>
    <w:sig w:usb0="800000AF" w:usb1="4000216A" w:usb2="00000008" w:usb3="00000000" w:csb0="00000001" w:csb1="00000000"/>
  </w:font>
  <w:font w:name="Akkurat Std Light">
    <w:panose1 w:val="020B0404020101020102"/>
    <w:charset w:val="00"/>
    <w:family w:val="swiss"/>
    <w:notTrueType/>
    <w:pitch w:val="variable"/>
    <w:sig w:usb0="800000AF" w:usb1="4000216A" w:usb2="00000008"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775" w14:textId="4382FA08" w:rsidR="005B1775" w:rsidRPr="00A41C4D" w:rsidRDefault="005B1775" w:rsidP="00B17C72">
    <w:pPr>
      <w:pStyle w:val="Footer"/>
      <w:jc w:val="right"/>
      <w:rPr>
        <w:szCs w:val="22"/>
      </w:rPr>
    </w:pPr>
    <w:r w:rsidRPr="00A41C4D">
      <w:rPr>
        <w:szCs w:val="22"/>
      </w:rPr>
      <w:fldChar w:fldCharType="begin"/>
    </w:r>
    <w:r w:rsidRPr="00A41C4D">
      <w:rPr>
        <w:szCs w:val="22"/>
      </w:rPr>
      <w:instrText xml:space="preserve"> PAGE   \* MERGEFORMAT </w:instrText>
    </w:r>
    <w:r w:rsidRPr="00A41C4D">
      <w:rPr>
        <w:szCs w:val="22"/>
      </w:rPr>
      <w:fldChar w:fldCharType="separate"/>
    </w:r>
    <w:r w:rsidR="002304DA">
      <w:rPr>
        <w:noProof/>
        <w:szCs w:val="22"/>
      </w:rPr>
      <w:t>2</w:t>
    </w:r>
    <w:r w:rsidRPr="00A41C4D">
      <w:rPr>
        <w:szCs w:val="22"/>
      </w:rPr>
      <w:fldChar w:fldCharType="end"/>
    </w:r>
    <w:r w:rsidRPr="00A41C4D">
      <w:rPr>
        <w:szCs w:val="22"/>
      </w:rPr>
      <w:t xml:space="preserve"> of </w:t>
    </w:r>
    <w:r w:rsidRPr="00A41C4D">
      <w:rPr>
        <w:noProof/>
        <w:szCs w:val="22"/>
      </w:rPr>
      <w:fldChar w:fldCharType="begin"/>
    </w:r>
    <w:r w:rsidRPr="00A41C4D">
      <w:rPr>
        <w:noProof/>
        <w:szCs w:val="22"/>
      </w:rPr>
      <w:instrText xml:space="preserve"> NUMPAGES   \* MERGEFORMAT </w:instrText>
    </w:r>
    <w:r w:rsidRPr="00A41C4D">
      <w:rPr>
        <w:noProof/>
        <w:szCs w:val="22"/>
      </w:rPr>
      <w:fldChar w:fldCharType="separate"/>
    </w:r>
    <w:r w:rsidR="00F70B11">
      <w:rPr>
        <w:noProof/>
        <w:szCs w:val="22"/>
      </w:rPr>
      <w:t>9</w:t>
    </w:r>
    <w:r w:rsidRPr="00A41C4D">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078A" w14:textId="6FFA077F" w:rsidR="005B1775" w:rsidRPr="004759C0" w:rsidRDefault="00D828E6" w:rsidP="00B17C72">
    <w:pPr>
      <w:pStyle w:val="Footer"/>
      <w:tabs>
        <w:tab w:val="clear" w:pos="4513"/>
        <w:tab w:val="clear" w:pos="9026"/>
        <w:tab w:val="right" w:pos="5786"/>
      </w:tabs>
    </w:pPr>
    <w:r w:rsidRPr="004148EF">
      <w:rPr>
        <w:noProof/>
        <w:lang w:eastAsia="en-GB"/>
      </w:rPr>
      <mc:AlternateContent>
        <mc:Choice Requires="wps">
          <w:drawing>
            <wp:anchor distT="0" distB="0" distL="114300" distR="114300" simplePos="0" relativeHeight="251657728" behindDoc="0" locked="0" layoutInCell="1" allowOverlap="1" wp14:anchorId="2FFC1D2C" wp14:editId="6E2C89B3">
              <wp:simplePos x="0" y="0"/>
              <wp:positionH relativeFrom="column">
                <wp:posOffset>2842260</wp:posOffset>
              </wp:positionH>
              <wp:positionV relativeFrom="paragraph">
                <wp:posOffset>-393700</wp:posOffset>
              </wp:positionV>
              <wp:extent cx="3453765" cy="628650"/>
              <wp:effectExtent l="0" t="0" r="0" b="0"/>
              <wp:wrapNone/>
              <wp:docPr id="1" name="object 10"/>
              <wp:cNvGraphicFramePr/>
              <a:graphic xmlns:a="http://schemas.openxmlformats.org/drawingml/2006/main">
                <a:graphicData uri="http://schemas.microsoft.com/office/word/2010/wordprocessingShape">
                  <wps:wsp>
                    <wps:cNvSpPr txBox="1"/>
                    <wps:spPr>
                      <a:xfrm>
                        <a:off x="0" y="0"/>
                        <a:ext cx="3453765" cy="628650"/>
                      </a:xfrm>
                      <a:prstGeom prst="rect">
                        <a:avLst/>
                      </a:prstGeom>
                    </wps:spPr>
                    <wps:txbx>
                      <w:txbxContent>
                        <w:p w14:paraId="7B6394A1" w14:textId="77777777" w:rsidR="005B1775" w:rsidRDefault="005B1775" w:rsidP="00B17C72">
                          <w:pPr>
                            <w:pStyle w:val="NormalWeb"/>
                            <w:spacing w:before="0" w:beforeAutospacing="0" w:after="0" w:afterAutospacing="0"/>
                            <w:ind w:right="11"/>
                            <w:jc w:val="right"/>
                            <w:rPr>
                              <w:rFonts w:ascii="Calibri" w:hAnsi="Calibri" w:cs="Calibri"/>
                              <w:b/>
                              <w:bCs/>
                              <w:color w:val="FFFFFF"/>
                              <w:kern w:val="24"/>
                              <w:sz w:val="20"/>
                              <w:szCs w:val="20"/>
                            </w:rPr>
                          </w:pPr>
                        </w:p>
                        <w:p w14:paraId="3649CE23" w14:textId="77777777" w:rsidR="005B1775" w:rsidRPr="004148EF" w:rsidRDefault="00D828E6" w:rsidP="00D828E6">
                          <w:pPr>
                            <w:pStyle w:val="SocialMediaStyle"/>
                          </w:pPr>
                          <w:r>
                            <w:t>Stewardship and Corporate Governance</w:t>
                          </w:r>
                        </w:p>
                        <w:p w14:paraId="4875F30D" w14:textId="77777777" w:rsidR="005B1775" w:rsidRPr="00EF5A4F" w:rsidRDefault="00D70005" w:rsidP="00B17C72">
                          <w:pPr>
                            <w:pStyle w:val="NormalWeb"/>
                            <w:spacing w:before="0" w:beforeAutospacing="0" w:after="0" w:afterAutospacing="0"/>
                            <w:ind w:right="11"/>
                            <w:jc w:val="right"/>
                            <w:rPr>
                              <w:rFonts w:ascii="Calibri" w:hAnsi="Calibri" w:cs="Calibri"/>
                              <w:bCs/>
                              <w:color w:val="E7E6E6" w:themeColor="background2"/>
                              <w:kern w:val="24"/>
                              <w:sz w:val="18"/>
                              <w:szCs w:val="18"/>
                            </w:rPr>
                          </w:pPr>
                          <w:hyperlink r:id="rId1" w:history="1">
                            <w:r w:rsidR="005B1775" w:rsidRPr="00EF5A4F">
                              <w:rPr>
                                <w:rStyle w:val="Hyperlink"/>
                                <w:rFonts w:ascii="Calibri" w:hAnsi="Calibri" w:cs="Calibri"/>
                                <w:bCs/>
                                <w:color w:val="E7E6E6" w:themeColor="background2"/>
                                <w:kern w:val="24"/>
                                <w:sz w:val="18"/>
                                <w:szCs w:val="18"/>
                              </w:rPr>
                              <w:t>@I</w:t>
                            </w:r>
                            <w:r w:rsidR="005B1775" w:rsidRPr="00EF5A4F">
                              <w:rPr>
                                <w:rStyle w:val="Hyperlink"/>
                                <w:rFonts w:ascii="Calibri" w:hAnsi="Calibri" w:cs="Calibri"/>
                                <w:bCs/>
                                <w:color w:val="E7E6E6" w:themeColor="background2"/>
                                <w:spacing w:val="-2"/>
                                <w:kern w:val="24"/>
                                <w:sz w:val="18"/>
                                <w:szCs w:val="18"/>
                              </w:rPr>
                              <w:t>n</w:t>
                            </w:r>
                            <w:r w:rsidR="005B1775" w:rsidRPr="00EF5A4F">
                              <w:rPr>
                                <w:rStyle w:val="Hyperlink"/>
                                <w:rFonts w:ascii="Calibri" w:hAnsi="Calibri" w:cs="Calibri"/>
                                <w:bCs/>
                                <w:color w:val="E7E6E6" w:themeColor="background2"/>
                                <w:kern w:val="24"/>
                                <w:sz w:val="18"/>
                                <w:szCs w:val="18"/>
                              </w:rPr>
                              <w:t>vAssoc</w:t>
                            </w:r>
                          </w:hyperlink>
                          <w:r w:rsidR="005B1775" w:rsidRPr="00EF5A4F">
                            <w:rPr>
                              <w:rStyle w:val="Hyperlink"/>
                              <w:rFonts w:ascii="Calibri" w:hAnsi="Calibri" w:cs="Calibri"/>
                              <w:bCs/>
                              <w:color w:val="E7E6E6" w:themeColor="background2"/>
                              <w:kern w:val="24"/>
                              <w:sz w:val="18"/>
                              <w:szCs w:val="18"/>
                            </w:rPr>
                            <w:t xml:space="preserve">          </w:t>
                          </w:r>
                          <w:hyperlink r:id="rId2" w:history="1">
                            <w:r w:rsidR="005B1775" w:rsidRPr="00EF5A4F">
                              <w:rPr>
                                <w:rStyle w:val="Hyperlink"/>
                                <w:rFonts w:ascii="Calibri" w:hAnsi="Calibri" w:cs="Calibri"/>
                                <w:bCs/>
                                <w:color w:val="E7E6E6" w:themeColor="background2"/>
                                <w:kern w:val="24"/>
                                <w:sz w:val="18"/>
                                <w:szCs w:val="18"/>
                              </w:rPr>
                              <w:t>@The Investment Association</w:t>
                            </w:r>
                          </w:hyperlink>
                        </w:p>
                      </w:txbxContent>
                    </wps:txbx>
                    <wps:bodyPr vert="horz" wrap="square" lIns="0" tIns="508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FFC1D2C" id="_x0000_t202" coordsize="21600,21600" o:spt="202" path="m,l,21600r21600,l21600,xe">
              <v:stroke joinstyle="miter"/>
              <v:path gradientshapeok="t" o:connecttype="rect"/>
            </v:shapetype>
            <v:shape id="object 10" o:spid="_x0000_s1026" type="#_x0000_t202" style="position:absolute;margin-left:223.8pt;margin-top:-31pt;width:271.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" filled="f" stroked="f">
              <v:textbox inset="0,4pt,0,0">
                <w:txbxContent>
                  <w:p w14:paraId="7B6394A1" w14:textId="77777777" w:rsidR="005B1775" w:rsidRDefault="005B1775" w:rsidP="00B17C72">
                    <w:pPr>
                      <w:pStyle w:val="NormalWeb"/>
                      <w:spacing w:before="0" w:beforeAutospacing="0" w:after="0" w:afterAutospacing="0"/>
                      <w:ind w:right="11"/>
                      <w:jc w:val="right"/>
                      <w:rPr>
                        <w:rFonts w:ascii="Calibri" w:hAnsi="Calibri" w:cs="Calibri"/>
                        <w:b/>
                        <w:bCs/>
                        <w:color w:val="FFFFFF"/>
                        <w:kern w:val="24"/>
                        <w:sz w:val="20"/>
                        <w:szCs w:val="20"/>
                      </w:rPr>
                    </w:pPr>
                  </w:p>
                  <w:p w14:paraId="3649CE23" w14:textId="77777777" w:rsidR="005B1775" w:rsidRPr="004148EF" w:rsidRDefault="00D828E6" w:rsidP="00D828E6">
                    <w:pPr>
                      <w:pStyle w:val="SocialMediaStyle"/>
                    </w:pPr>
                    <w:r>
                      <w:t>Stewardship and Corporate Governance</w:t>
                    </w:r>
                  </w:p>
                  <w:p w14:paraId="4875F30D" w14:textId="77777777" w:rsidR="005B1775" w:rsidRPr="00EF5A4F" w:rsidRDefault="00D70005" w:rsidP="00B17C72">
                    <w:pPr>
                      <w:pStyle w:val="NormalWeb"/>
                      <w:spacing w:before="0" w:beforeAutospacing="0" w:after="0" w:afterAutospacing="0"/>
                      <w:ind w:right="11"/>
                      <w:jc w:val="right"/>
                      <w:rPr>
                        <w:rFonts w:ascii="Calibri" w:hAnsi="Calibri" w:cs="Calibri"/>
                        <w:bCs/>
                        <w:color w:val="E7E6E6" w:themeColor="background2"/>
                        <w:kern w:val="24"/>
                        <w:sz w:val="18"/>
                        <w:szCs w:val="18"/>
                      </w:rPr>
                    </w:pPr>
                    <w:hyperlink r:id="rId3" w:history="1">
                      <w:r w:rsidR="005B1775" w:rsidRPr="00EF5A4F">
                        <w:rPr>
                          <w:rStyle w:val="Hyperlink"/>
                          <w:rFonts w:ascii="Calibri" w:hAnsi="Calibri" w:cs="Calibri"/>
                          <w:bCs/>
                          <w:color w:val="E7E6E6" w:themeColor="background2"/>
                          <w:kern w:val="24"/>
                          <w:sz w:val="18"/>
                          <w:szCs w:val="18"/>
                        </w:rPr>
                        <w:t>@I</w:t>
                      </w:r>
                      <w:r w:rsidR="005B1775" w:rsidRPr="00EF5A4F">
                        <w:rPr>
                          <w:rStyle w:val="Hyperlink"/>
                          <w:rFonts w:ascii="Calibri" w:hAnsi="Calibri" w:cs="Calibri"/>
                          <w:bCs/>
                          <w:color w:val="E7E6E6" w:themeColor="background2"/>
                          <w:spacing w:val="-2"/>
                          <w:kern w:val="24"/>
                          <w:sz w:val="18"/>
                          <w:szCs w:val="18"/>
                        </w:rPr>
                        <w:t>n</w:t>
                      </w:r>
                      <w:r w:rsidR="005B1775" w:rsidRPr="00EF5A4F">
                        <w:rPr>
                          <w:rStyle w:val="Hyperlink"/>
                          <w:rFonts w:ascii="Calibri" w:hAnsi="Calibri" w:cs="Calibri"/>
                          <w:bCs/>
                          <w:color w:val="E7E6E6" w:themeColor="background2"/>
                          <w:kern w:val="24"/>
                          <w:sz w:val="18"/>
                          <w:szCs w:val="18"/>
                        </w:rPr>
                        <w:t>vAssoc</w:t>
                      </w:r>
                    </w:hyperlink>
                    <w:r w:rsidR="005B1775" w:rsidRPr="00EF5A4F">
                      <w:rPr>
                        <w:rStyle w:val="Hyperlink"/>
                        <w:rFonts w:ascii="Calibri" w:hAnsi="Calibri" w:cs="Calibri"/>
                        <w:bCs/>
                        <w:color w:val="E7E6E6" w:themeColor="background2"/>
                        <w:kern w:val="24"/>
                        <w:sz w:val="18"/>
                        <w:szCs w:val="18"/>
                      </w:rPr>
                      <w:t xml:space="preserve">          </w:t>
                    </w:r>
                    <w:hyperlink r:id="rId4" w:history="1">
                      <w:r w:rsidR="005B1775" w:rsidRPr="00EF5A4F">
                        <w:rPr>
                          <w:rStyle w:val="Hyperlink"/>
                          <w:rFonts w:ascii="Calibri" w:hAnsi="Calibri" w:cs="Calibri"/>
                          <w:bCs/>
                          <w:color w:val="E7E6E6" w:themeColor="background2"/>
                          <w:kern w:val="24"/>
                          <w:sz w:val="18"/>
                          <w:szCs w:val="18"/>
                        </w:rPr>
                        <w:t>@The Investment Association</w:t>
                      </w:r>
                    </w:hyperlink>
                  </w:p>
                </w:txbxContent>
              </v:textbox>
            </v:shape>
          </w:pict>
        </mc:Fallback>
      </mc:AlternateContent>
    </w:r>
    <w:r w:rsidR="005B1775">
      <w:rPr>
        <w:noProof/>
        <w:lang w:eastAsia="en-GB"/>
      </w:rPr>
      <w:drawing>
        <wp:anchor distT="0" distB="0" distL="114300" distR="114300" simplePos="0" relativeHeight="251660800" behindDoc="0" locked="0" layoutInCell="1" allowOverlap="1" wp14:anchorId="753EA8C9" wp14:editId="3DAB9109">
          <wp:simplePos x="0" y="0"/>
          <wp:positionH relativeFrom="column">
            <wp:posOffset>3924300</wp:posOffset>
          </wp:positionH>
          <wp:positionV relativeFrom="paragraph">
            <wp:posOffset>-62865</wp:posOffset>
          </wp:positionV>
          <wp:extent cx="161925" cy="1619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005B1775">
      <w:rPr>
        <w:noProof/>
        <w:lang w:eastAsia="en-GB"/>
      </w:rPr>
      <w:drawing>
        <wp:anchor distT="0" distB="0" distL="114300" distR="114300" simplePos="0" relativeHeight="251659776" behindDoc="0" locked="0" layoutInCell="1" allowOverlap="1" wp14:anchorId="7FDE0F64" wp14:editId="79E7ED98">
          <wp:simplePos x="0" y="0"/>
          <wp:positionH relativeFrom="column">
            <wp:posOffset>4705350</wp:posOffset>
          </wp:positionH>
          <wp:positionV relativeFrom="paragraph">
            <wp:posOffset>-71755</wp:posOffset>
          </wp:positionV>
          <wp:extent cx="161925" cy="1619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005B1775" w:rsidRPr="004148EF">
      <w:rPr>
        <w:noProof/>
        <w:lang w:eastAsia="en-GB"/>
      </w:rPr>
      <mc:AlternateContent>
        <mc:Choice Requires="wps">
          <w:drawing>
            <wp:anchor distT="0" distB="0" distL="114300" distR="114300" simplePos="0" relativeHeight="251655680" behindDoc="0" locked="0" layoutInCell="1" allowOverlap="1" wp14:anchorId="40F1B547" wp14:editId="5192CC90">
              <wp:simplePos x="0" y="0"/>
              <wp:positionH relativeFrom="column">
                <wp:posOffset>-526415</wp:posOffset>
              </wp:positionH>
              <wp:positionV relativeFrom="paragraph">
                <wp:posOffset>-263525</wp:posOffset>
              </wp:positionV>
              <wp:extent cx="3293745" cy="476250"/>
              <wp:effectExtent l="0" t="0" r="0" b="0"/>
              <wp:wrapNone/>
              <wp:docPr id="9" name="object 9"/>
              <wp:cNvGraphicFramePr/>
              <a:graphic xmlns:a="http://schemas.openxmlformats.org/drawingml/2006/main">
                <a:graphicData uri="http://schemas.microsoft.com/office/word/2010/wordprocessingShape">
                  <wps:wsp>
                    <wps:cNvSpPr txBox="1"/>
                    <wps:spPr>
                      <a:xfrm>
                        <a:off x="0" y="0"/>
                        <a:ext cx="3293745" cy="476250"/>
                      </a:xfrm>
                      <a:prstGeom prst="rect">
                        <a:avLst/>
                      </a:prstGeom>
                    </wps:spPr>
                    <wps:txbx>
                      <w:txbxContent>
                        <w:p w14:paraId="77E175FC" w14:textId="77777777" w:rsidR="005B1775" w:rsidRPr="004148EF" w:rsidRDefault="005B1775" w:rsidP="00B17C72">
                          <w:pPr>
                            <w:pStyle w:val="NormalWeb"/>
                            <w:spacing w:before="0" w:beforeAutospacing="0" w:after="0" w:afterAutospacing="0"/>
                            <w:rPr>
                              <w:rFonts w:ascii="Calibri" w:hAnsi="Calibri" w:cs="Calibri"/>
                              <w:sz w:val="18"/>
                              <w:szCs w:val="18"/>
                            </w:rPr>
                          </w:pPr>
                          <w:r w:rsidRPr="004148EF">
                            <w:rPr>
                              <w:rFonts w:ascii="Calibri" w:hAnsi="Calibri" w:cs="Calibri"/>
                              <w:b/>
                              <w:bCs/>
                              <w:color w:val="FFFFFF"/>
                              <w:kern w:val="24"/>
                              <w:sz w:val="18"/>
                              <w:szCs w:val="18"/>
                            </w:rPr>
                            <w:t xml:space="preserve">The </w:t>
                          </w:r>
                          <w:r w:rsidRPr="004148EF">
                            <w:rPr>
                              <w:rFonts w:ascii="Calibri" w:hAnsi="Calibri" w:cs="Calibri"/>
                              <w:b/>
                              <w:bCs/>
                              <w:color w:val="FFFFFF"/>
                              <w:spacing w:val="-1"/>
                              <w:kern w:val="24"/>
                              <w:sz w:val="18"/>
                              <w:szCs w:val="18"/>
                            </w:rPr>
                            <w:t>Investment</w:t>
                          </w:r>
                          <w:r w:rsidRPr="004148EF">
                            <w:rPr>
                              <w:rFonts w:ascii="Calibri" w:hAnsi="Calibri" w:cs="Calibri"/>
                              <w:b/>
                              <w:bCs/>
                              <w:color w:val="FFFFFF"/>
                              <w:spacing w:val="3"/>
                              <w:kern w:val="24"/>
                              <w:sz w:val="18"/>
                              <w:szCs w:val="18"/>
                            </w:rPr>
                            <w:t xml:space="preserve"> </w:t>
                          </w:r>
                          <w:r w:rsidRPr="004148EF">
                            <w:rPr>
                              <w:rFonts w:ascii="Calibri" w:hAnsi="Calibri" w:cs="Calibri"/>
                              <w:b/>
                              <w:bCs/>
                              <w:color w:val="FFFFFF"/>
                              <w:spacing w:val="-1"/>
                              <w:kern w:val="24"/>
                              <w:sz w:val="18"/>
                              <w:szCs w:val="18"/>
                            </w:rPr>
                            <w:t>Association</w:t>
                          </w:r>
                        </w:p>
                        <w:p w14:paraId="1F782C1A" w14:textId="77777777" w:rsidR="005B1775" w:rsidRPr="004148EF" w:rsidRDefault="005B1775" w:rsidP="00B17C72">
                          <w:pPr>
                            <w:pStyle w:val="NormalWeb"/>
                            <w:spacing w:before="0" w:beforeAutospacing="0" w:after="0" w:afterAutospacing="0"/>
                            <w:rPr>
                              <w:rFonts w:ascii="Calibri" w:hAnsi="Calibri" w:cs="Calibri"/>
                              <w:color w:val="FFFFFF"/>
                              <w:spacing w:val="-2"/>
                              <w:kern w:val="24"/>
                              <w:sz w:val="18"/>
                              <w:szCs w:val="18"/>
                            </w:rPr>
                          </w:pPr>
                          <w:r w:rsidRPr="004148EF">
                            <w:rPr>
                              <w:rFonts w:ascii="Calibri" w:hAnsi="Calibri" w:cs="Calibri"/>
                              <w:color w:val="FFFFFF"/>
                              <w:spacing w:val="-1"/>
                              <w:kern w:val="24"/>
                              <w:sz w:val="18"/>
                              <w:szCs w:val="18"/>
                            </w:rPr>
                            <w:t xml:space="preserve">Camomile </w:t>
                          </w:r>
                          <w:r w:rsidRPr="004148EF">
                            <w:rPr>
                              <w:rFonts w:ascii="Calibri" w:hAnsi="Calibri" w:cs="Calibri"/>
                              <w:color w:val="FFFFFF"/>
                              <w:spacing w:val="1"/>
                              <w:kern w:val="24"/>
                              <w:sz w:val="18"/>
                              <w:szCs w:val="18"/>
                            </w:rPr>
                            <w:t xml:space="preserve">Court, </w:t>
                          </w:r>
                          <w:r w:rsidRPr="004148EF">
                            <w:rPr>
                              <w:rFonts w:ascii="Calibri" w:hAnsi="Calibri" w:cs="Calibri"/>
                              <w:color w:val="FFFFFF"/>
                              <w:kern w:val="24"/>
                              <w:sz w:val="18"/>
                              <w:szCs w:val="18"/>
                            </w:rPr>
                            <w:t xml:space="preserve">23 </w:t>
                          </w:r>
                          <w:r w:rsidRPr="004148EF">
                            <w:rPr>
                              <w:rFonts w:ascii="Calibri" w:hAnsi="Calibri" w:cs="Calibri"/>
                              <w:color w:val="FFFFFF"/>
                              <w:spacing w:val="-1"/>
                              <w:kern w:val="24"/>
                              <w:sz w:val="18"/>
                              <w:szCs w:val="18"/>
                            </w:rPr>
                            <w:t xml:space="preserve">Camomile </w:t>
                          </w:r>
                          <w:r w:rsidRPr="004148EF">
                            <w:rPr>
                              <w:rFonts w:ascii="Calibri" w:hAnsi="Calibri" w:cs="Calibri"/>
                              <w:color w:val="FFFFFF"/>
                              <w:kern w:val="24"/>
                              <w:sz w:val="18"/>
                              <w:szCs w:val="18"/>
                            </w:rPr>
                            <w:t xml:space="preserve">Street, </w:t>
                          </w:r>
                          <w:r w:rsidRPr="004148EF">
                            <w:rPr>
                              <w:rFonts w:ascii="Calibri" w:hAnsi="Calibri" w:cs="Calibri"/>
                              <w:color w:val="FFFFFF"/>
                              <w:spacing w:val="-1"/>
                              <w:kern w:val="24"/>
                              <w:sz w:val="18"/>
                              <w:szCs w:val="18"/>
                            </w:rPr>
                            <w:t>London, EC3A</w:t>
                          </w:r>
                          <w:r w:rsidRPr="004148EF">
                            <w:rPr>
                              <w:rFonts w:ascii="Calibri" w:hAnsi="Calibri" w:cs="Calibri"/>
                              <w:color w:val="FFFFFF"/>
                              <w:spacing w:val="-12"/>
                              <w:kern w:val="24"/>
                              <w:sz w:val="18"/>
                              <w:szCs w:val="18"/>
                            </w:rPr>
                            <w:t xml:space="preserve"> </w:t>
                          </w:r>
                          <w:r w:rsidRPr="004148EF">
                            <w:rPr>
                              <w:rFonts w:ascii="Calibri" w:hAnsi="Calibri" w:cs="Calibri"/>
                              <w:color w:val="FFFFFF"/>
                              <w:spacing w:val="-2"/>
                              <w:kern w:val="24"/>
                              <w:sz w:val="18"/>
                              <w:szCs w:val="18"/>
                            </w:rPr>
                            <w:t>7LL</w:t>
                          </w:r>
                        </w:p>
                        <w:p w14:paraId="6040961E" w14:textId="77777777" w:rsidR="005B1775" w:rsidRPr="00EF5A4F" w:rsidRDefault="00D70005" w:rsidP="00B17C72">
                          <w:pPr>
                            <w:pStyle w:val="NormalWeb"/>
                            <w:spacing w:before="0" w:beforeAutospacing="0" w:after="0" w:afterAutospacing="0"/>
                            <w:rPr>
                              <w:rFonts w:ascii="Calibri" w:hAnsi="Calibri" w:cs="Calibri"/>
                              <w:color w:val="E7E6E6" w:themeColor="background2"/>
                              <w:spacing w:val="-2"/>
                              <w:kern w:val="24"/>
                              <w:sz w:val="18"/>
                              <w:szCs w:val="18"/>
                            </w:rPr>
                          </w:pPr>
                          <w:hyperlink r:id="rId7" w:history="1">
                            <w:r w:rsidR="005B1775" w:rsidRPr="00EF5A4F">
                              <w:rPr>
                                <w:rStyle w:val="Hyperlink"/>
                                <w:rFonts w:ascii="Calibri" w:hAnsi="Calibri" w:cs="Calibri"/>
                                <w:color w:val="E7E6E6" w:themeColor="background2"/>
                                <w:spacing w:val="-2"/>
                                <w:kern w:val="24"/>
                                <w:sz w:val="18"/>
                                <w:szCs w:val="18"/>
                              </w:rPr>
                              <w:t>www.theia.org</w:t>
                            </w:r>
                          </w:hyperlink>
                          <w:r w:rsidR="005B1775" w:rsidRPr="00EF5A4F">
                            <w:rPr>
                              <w:rFonts w:ascii="Calibri" w:hAnsi="Calibri" w:cs="Calibri"/>
                              <w:color w:val="E7E6E6" w:themeColor="background2"/>
                              <w:spacing w:val="-2"/>
                              <w:kern w:val="24"/>
                              <w:sz w:val="18"/>
                              <w:szCs w:val="18"/>
                            </w:rPr>
                            <w:t xml:space="preserve"> </w:t>
                          </w:r>
                        </w:p>
                      </w:txbxContent>
                    </wps:txbx>
                    <wps:bodyPr vert="horz" wrap="square" lIns="0" tIns="38100" rIns="0" bIns="0" rtlCol="0">
                      <a:noAutofit/>
                    </wps:bodyPr>
                  </wps:wsp>
                </a:graphicData>
              </a:graphic>
              <wp14:sizeRelV relativeFrom="margin">
                <wp14:pctHeight>0</wp14:pctHeight>
              </wp14:sizeRelV>
            </wp:anchor>
          </w:drawing>
        </mc:Choice>
        <mc:Fallback>
          <w:pict>
            <v:shape w14:anchorId="40F1B547" id="object 9" o:spid="_x0000_s1027" type="#_x0000_t202" style="position:absolute;margin-left:-41.45pt;margin-top:-20.75pt;width:259.35pt;height:3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" filled="f" stroked="f">
              <v:textbox inset="0,3pt,0,0">
                <w:txbxContent>
                  <w:p w14:paraId="77E175FC" w14:textId="77777777" w:rsidR="005B1775" w:rsidRPr="004148EF" w:rsidRDefault="005B1775" w:rsidP="00B17C72">
                    <w:pPr>
                      <w:pStyle w:val="NormalWeb"/>
                      <w:spacing w:before="0" w:beforeAutospacing="0" w:after="0" w:afterAutospacing="0"/>
                      <w:rPr>
                        <w:rFonts w:ascii="Calibri" w:hAnsi="Calibri" w:cs="Calibri"/>
                        <w:sz w:val="18"/>
                        <w:szCs w:val="18"/>
                      </w:rPr>
                    </w:pPr>
                    <w:r w:rsidRPr="004148EF">
                      <w:rPr>
                        <w:rFonts w:ascii="Calibri" w:hAnsi="Calibri" w:cs="Calibri"/>
                        <w:b/>
                        <w:bCs/>
                        <w:color w:val="FFFFFF"/>
                        <w:kern w:val="24"/>
                        <w:sz w:val="18"/>
                        <w:szCs w:val="18"/>
                      </w:rPr>
                      <w:t xml:space="preserve">The </w:t>
                    </w:r>
                    <w:r w:rsidRPr="004148EF">
                      <w:rPr>
                        <w:rFonts w:ascii="Calibri" w:hAnsi="Calibri" w:cs="Calibri"/>
                        <w:b/>
                        <w:bCs/>
                        <w:color w:val="FFFFFF"/>
                        <w:spacing w:val="-1"/>
                        <w:kern w:val="24"/>
                        <w:sz w:val="18"/>
                        <w:szCs w:val="18"/>
                      </w:rPr>
                      <w:t>Investment</w:t>
                    </w:r>
                    <w:r w:rsidRPr="004148EF">
                      <w:rPr>
                        <w:rFonts w:ascii="Calibri" w:hAnsi="Calibri" w:cs="Calibri"/>
                        <w:b/>
                        <w:bCs/>
                        <w:color w:val="FFFFFF"/>
                        <w:spacing w:val="3"/>
                        <w:kern w:val="24"/>
                        <w:sz w:val="18"/>
                        <w:szCs w:val="18"/>
                      </w:rPr>
                      <w:t xml:space="preserve"> </w:t>
                    </w:r>
                    <w:r w:rsidRPr="004148EF">
                      <w:rPr>
                        <w:rFonts w:ascii="Calibri" w:hAnsi="Calibri" w:cs="Calibri"/>
                        <w:b/>
                        <w:bCs/>
                        <w:color w:val="FFFFFF"/>
                        <w:spacing w:val="-1"/>
                        <w:kern w:val="24"/>
                        <w:sz w:val="18"/>
                        <w:szCs w:val="18"/>
                      </w:rPr>
                      <w:t>Association</w:t>
                    </w:r>
                  </w:p>
                  <w:p w14:paraId="1F782C1A" w14:textId="77777777" w:rsidR="005B1775" w:rsidRPr="004148EF" w:rsidRDefault="005B1775" w:rsidP="00B17C72">
                    <w:pPr>
                      <w:pStyle w:val="NormalWeb"/>
                      <w:spacing w:before="0" w:beforeAutospacing="0" w:after="0" w:afterAutospacing="0"/>
                      <w:rPr>
                        <w:rFonts w:ascii="Calibri" w:hAnsi="Calibri" w:cs="Calibri"/>
                        <w:color w:val="FFFFFF"/>
                        <w:spacing w:val="-2"/>
                        <w:kern w:val="24"/>
                        <w:sz w:val="18"/>
                        <w:szCs w:val="18"/>
                      </w:rPr>
                    </w:pPr>
                    <w:r w:rsidRPr="004148EF">
                      <w:rPr>
                        <w:rFonts w:ascii="Calibri" w:hAnsi="Calibri" w:cs="Calibri"/>
                        <w:color w:val="FFFFFF"/>
                        <w:spacing w:val="-1"/>
                        <w:kern w:val="24"/>
                        <w:sz w:val="18"/>
                        <w:szCs w:val="18"/>
                      </w:rPr>
                      <w:t xml:space="preserve">Camomile </w:t>
                    </w:r>
                    <w:r w:rsidRPr="004148EF">
                      <w:rPr>
                        <w:rFonts w:ascii="Calibri" w:hAnsi="Calibri" w:cs="Calibri"/>
                        <w:color w:val="FFFFFF"/>
                        <w:spacing w:val="1"/>
                        <w:kern w:val="24"/>
                        <w:sz w:val="18"/>
                        <w:szCs w:val="18"/>
                      </w:rPr>
                      <w:t xml:space="preserve">Court, </w:t>
                    </w:r>
                    <w:r w:rsidRPr="004148EF">
                      <w:rPr>
                        <w:rFonts w:ascii="Calibri" w:hAnsi="Calibri" w:cs="Calibri"/>
                        <w:color w:val="FFFFFF"/>
                        <w:kern w:val="24"/>
                        <w:sz w:val="18"/>
                        <w:szCs w:val="18"/>
                      </w:rPr>
                      <w:t xml:space="preserve">23 </w:t>
                    </w:r>
                    <w:r w:rsidRPr="004148EF">
                      <w:rPr>
                        <w:rFonts w:ascii="Calibri" w:hAnsi="Calibri" w:cs="Calibri"/>
                        <w:color w:val="FFFFFF"/>
                        <w:spacing w:val="-1"/>
                        <w:kern w:val="24"/>
                        <w:sz w:val="18"/>
                        <w:szCs w:val="18"/>
                      </w:rPr>
                      <w:t xml:space="preserve">Camomile </w:t>
                    </w:r>
                    <w:r w:rsidRPr="004148EF">
                      <w:rPr>
                        <w:rFonts w:ascii="Calibri" w:hAnsi="Calibri" w:cs="Calibri"/>
                        <w:color w:val="FFFFFF"/>
                        <w:kern w:val="24"/>
                        <w:sz w:val="18"/>
                        <w:szCs w:val="18"/>
                      </w:rPr>
                      <w:t xml:space="preserve">Street, </w:t>
                    </w:r>
                    <w:r w:rsidRPr="004148EF">
                      <w:rPr>
                        <w:rFonts w:ascii="Calibri" w:hAnsi="Calibri" w:cs="Calibri"/>
                        <w:color w:val="FFFFFF"/>
                        <w:spacing w:val="-1"/>
                        <w:kern w:val="24"/>
                        <w:sz w:val="18"/>
                        <w:szCs w:val="18"/>
                      </w:rPr>
                      <w:t>London, EC3A</w:t>
                    </w:r>
                    <w:r w:rsidRPr="004148EF">
                      <w:rPr>
                        <w:rFonts w:ascii="Calibri" w:hAnsi="Calibri" w:cs="Calibri"/>
                        <w:color w:val="FFFFFF"/>
                        <w:spacing w:val="-12"/>
                        <w:kern w:val="24"/>
                        <w:sz w:val="18"/>
                        <w:szCs w:val="18"/>
                      </w:rPr>
                      <w:t xml:space="preserve"> </w:t>
                    </w:r>
                    <w:r w:rsidRPr="004148EF">
                      <w:rPr>
                        <w:rFonts w:ascii="Calibri" w:hAnsi="Calibri" w:cs="Calibri"/>
                        <w:color w:val="FFFFFF"/>
                        <w:spacing w:val="-2"/>
                        <w:kern w:val="24"/>
                        <w:sz w:val="18"/>
                        <w:szCs w:val="18"/>
                      </w:rPr>
                      <w:t>7LL</w:t>
                    </w:r>
                  </w:p>
                  <w:p w14:paraId="6040961E" w14:textId="77777777" w:rsidR="005B1775" w:rsidRPr="00EF5A4F" w:rsidRDefault="00D70005" w:rsidP="00B17C72">
                    <w:pPr>
                      <w:pStyle w:val="NormalWeb"/>
                      <w:spacing w:before="0" w:beforeAutospacing="0" w:after="0" w:afterAutospacing="0"/>
                      <w:rPr>
                        <w:rFonts w:ascii="Calibri" w:hAnsi="Calibri" w:cs="Calibri"/>
                        <w:color w:val="E7E6E6" w:themeColor="background2"/>
                        <w:spacing w:val="-2"/>
                        <w:kern w:val="24"/>
                        <w:sz w:val="18"/>
                        <w:szCs w:val="18"/>
                      </w:rPr>
                    </w:pPr>
                    <w:hyperlink r:id="rId8" w:history="1">
                      <w:r w:rsidR="005B1775" w:rsidRPr="00EF5A4F">
                        <w:rPr>
                          <w:rStyle w:val="Hyperlink"/>
                          <w:rFonts w:ascii="Calibri" w:hAnsi="Calibri" w:cs="Calibri"/>
                          <w:color w:val="E7E6E6" w:themeColor="background2"/>
                          <w:spacing w:val="-2"/>
                          <w:kern w:val="24"/>
                          <w:sz w:val="18"/>
                          <w:szCs w:val="18"/>
                        </w:rPr>
                        <w:t>www.theia.org</w:t>
                      </w:r>
                    </w:hyperlink>
                    <w:r w:rsidR="005B1775" w:rsidRPr="00EF5A4F">
                      <w:rPr>
                        <w:rFonts w:ascii="Calibri" w:hAnsi="Calibri" w:cs="Calibri"/>
                        <w:color w:val="E7E6E6" w:themeColor="background2"/>
                        <w:spacing w:val="-2"/>
                        <w:kern w:val="24"/>
                        <w:sz w:val="18"/>
                        <w:szCs w:val="18"/>
                      </w:rPr>
                      <w:t xml:space="preserve"> </w:t>
                    </w:r>
                  </w:p>
                </w:txbxContent>
              </v:textbox>
            </v:shape>
          </w:pict>
        </mc:Fallback>
      </mc:AlternateContent>
    </w:r>
    <w:r w:rsidR="005B1775">
      <w:rPr>
        <w:noProof/>
        <w:w w:val="100"/>
        <w:lang w:eastAsia="en-GB"/>
      </w:rPr>
      <mc:AlternateContent>
        <mc:Choice Requires="wpg">
          <w:drawing>
            <wp:anchor distT="0" distB="0" distL="114300" distR="114300" simplePos="0" relativeHeight="251654656" behindDoc="1" locked="0" layoutInCell="1" allowOverlap="1" wp14:anchorId="6C6F89D4" wp14:editId="07BEA355">
              <wp:simplePos x="0" y="0"/>
              <wp:positionH relativeFrom="column">
                <wp:posOffset>-869315</wp:posOffset>
              </wp:positionH>
              <wp:positionV relativeFrom="page">
                <wp:posOffset>9629775</wp:posOffset>
              </wp:positionV>
              <wp:extent cx="7552690" cy="103378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7552690" cy="1033780"/>
                        <a:chOff x="0" y="0"/>
                        <a:chExt cx="7552690" cy="1033780"/>
                      </a:xfrm>
                    </wpg:grpSpPr>
                    <pic:pic xmlns:pic="http://schemas.openxmlformats.org/drawingml/2006/picture">
                      <pic:nvPicPr>
                        <pic:cNvPr id="488" name="Picture 488"/>
                        <pic:cNvPicPr>
                          <a:picLocks noChangeAspect="1"/>
                        </pic:cNvPicPr>
                      </pic:nvPicPr>
                      <pic:blipFill rotWithShape="1">
                        <a:blip r:embed="rId9" cstate="print">
                          <a:extLst>
                            <a:ext uri="{28A0092B-C50C-407E-A947-70E740481C1C}">
                              <a14:useLocalDpi xmlns:a14="http://schemas.microsoft.com/office/drawing/2010/main" val="0"/>
                            </a:ext>
                          </a:extLst>
                        </a:blip>
                        <a:srcRect t="80723"/>
                        <a:stretch/>
                      </pic:blipFill>
                      <pic:spPr bwMode="auto">
                        <a:xfrm>
                          <a:off x="0" y="0"/>
                          <a:ext cx="7552690" cy="1033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40356" t="88715" r="44132" b="5956"/>
                        <a:stretch/>
                      </pic:blipFill>
                      <pic:spPr bwMode="auto">
                        <a:xfrm>
                          <a:off x="5248275" y="533400"/>
                          <a:ext cx="1171575" cy="285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78405E6" id="Group 7" o:spid="_x0000_s1026" style="position:absolute;margin-left:-68.45pt;margin-top:758.25pt;width:594.7pt;height:81.4pt;z-index:-251661824;mso-position-vertical-relative:page" coordsize="75526,10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qx/wCDcz/lDJ8F/wDr31z/ANP+o1/KdX9WP/BuZ/yhk+C//Xvrn/p/1Gvk&#10;eMv+RZD/ABr/ANJke9w7/vsv8L/NH23RRRX5qfZBRRRQAUUUUAFFFFABRRRQAUUUUAFFFFAH5k/8&#10;HY//ACi1s/8AsqWkf+k97X81Nf0rf8HY/wDyi1s/+ypaR/6T3tfzU1+ocI/8in/t5/ofE59/v/yX&#10;6hRRRX1B4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Vj/wbmf8&#10;oZPgv/1765/6f9Rr+U6v6sf+Dcz/AJQyfBf/AK99c/8AT/qNfI8Zf8iyH+Nf+kyPe4d/32X+F/mj&#10;7booor81PsgooooAKKKKACiiigAooooAKKKKACiiigD8yf8Ag7H/AOUWtn/2VLSP/Se9r+amv6Vv&#10;+Dsf/lFrZ/8AZUtI/wDSe9r+amv1DhH/AJFP/bz/AEPic+/3/wCS/UKKKK+oPF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6sf+Dcz/AJQyfBf/AK99c/8AT/qNfynV&#10;/Vj/AMG5n/KGT4L/APXvrn/p/wBRr5HjL/kWQ/xr/wBJke9w7/vsv8L/ADR9t0UUV+an2QUUUUAF&#10;FFFABRRRQAUUUUAFFFFABRRRQB+ZP/B2P/yi1s/+ypaR/wCk97X81Nf0rf8AB2P/AMotbP8A7Klp&#10;H/pPe1/NTX6hwj/yKf8At5/ofE59/v8A8l+oUUUV9QeK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1Y/wDBuZ/yhk+C/wD1765/6f8AUa/lOr+rH/g3M/5QyfBf/r31&#10;z/0/6jXyPGX/ACLIf41/6TI97h3/AH2X+F/mj7booor81PsgooooAKKKKACiiigAooooAKKKKACi&#10;iigD8yf+Dsf/AJRa2f8A2VLSP/Se9r+amv6Vv+Dsf/lFrZ/9lS0j/wBJ72v5qa/UOEf+RT/28/0P&#10;ic+/3/5L9Qooor6g8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qx/4NzP+UMnwX/699c/9P+o1/KdX9WP/AAbmf8oZPgv/ANe+uf8Ap/1GvkeMv+RZD/Gv/SZHvcO/&#10;77L/AAv80fbdFFFfmp9kFFFFABRRRQAUUUUAFFFFABRRRQAUUUUAfmT/AMHY/wDyi1s/+ypaR/6T&#10;3tfzU1/St/wdj/8AKLWz/wCypaR/6T3tfzU1+ocI/wDIp/7ef6HxOff7/wDJfqFFFFfUHi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9WP/AAbmf8oZPgv/ANe+uf8A&#10;p/1Gv5Tq/qx/4NzP+UMnwX/699c/9P8AqNfI8Zf8iyH+Nf8ApMj3uHf99l/hf5o+26KKK/NT7IKK&#10;KKACiiigAooooAKKKKACiiigAooooA/Mn/g7H/5Ra2f/AGVLSP8A0nva/mpr+lb/AIOx/wDlFrZ/&#10;9lS0j/0nva/mpr9Q4R/5FP8A28/0Pic+/wB/+S/UKKKK+oPF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6sf+Dcz/lDJ8F/+vfXP/T/AKjX8p1f1Y/8G5n/AChk+C//&#10;AF765/6f9Rr5HjL/AJFkP8a/9Jke9w7/AL7L/C/zR9t0UUV+an2QUUUUAFFFFABRRRQAUUUUAFFF&#10;FABRRRQB+ZP/AAdj/wDKLWz/AOypaR/6T3tfzU1/St/wdj/8otbP/sqWkf8ApPe1/NTX6hwj/wAi&#10;n/t5/ofE59/v/wAl+oUUUV9QeK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&#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8" o:spid="_x0000_s1027" type="#_x0000_t75" style="position:absolute;width:75526;height:10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">
                <v:imagedata r:id="rId10" o:title="" croptop="52903f"/>
              </v:shape>
              <v:shape id="Picture 2" o:spid="_x0000_s1028" type="#_x0000_t75" style="position:absolute;left:52482;top:5334;width:1171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">
                <v:imagedata r:id="rId10" o:title="" croptop="58140f" cropbottom="3903f" cropleft="26448f" cropright="28922f"/>
              </v:shape>
              <w10:wrap type="square" anchory="page"/>
            </v:group>
          </w:pict>
        </mc:Fallback>
      </mc:AlternateContent>
    </w:r>
    <w:r w:rsidR="005B1775" w:rsidRPr="004759C0">
      <w:fldChar w:fldCharType="begin"/>
    </w:r>
    <w:r w:rsidR="005B1775" w:rsidRPr="004759C0">
      <w:instrText xml:space="preserve"> PAGE   \* MERGEFORMAT </w:instrText>
    </w:r>
    <w:r w:rsidR="005B1775" w:rsidRPr="004759C0">
      <w:fldChar w:fldCharType="separate"/>
    </w:r>
    <w:r w:rsidR="00F70B11">
      <w:rPr>
        <w:noProof/>
      </w:rPr>
      <w:t>1</w:t>
    </w:r>
    <w:r w:rsidR="005B1775" w:rsidRPr="004759C0">
      <w:fldChar w:fldCharType="end"/>
    </w:r>
    <w:r w:rsidR="005B1775" w:rsidRPr="004759C0">
      <w:t xml:space="preserve"> </w:t>
    </w:r>
    <w:r w:rsidR="005B1775">
      <w:t>o</w:t>
    </w:r>
    <w:r w:rsidR="005B1775" w:rsidRPr="004759C0">
      <w:t xml:space="preserve">f </w:t>
    </w:r>
    <w:r w:rsidR="005B1775">
      <w:rPr>
        <w:noProof/>
      </w:rPr>
      <w:fldChar w:fldCharType="begin"/>
    </w:r>
    <w:r w:rsidR="005B1775">
      <w:rPr>
        <w:noProof/>
      </w:rPr>
      <w:instrText xml:space="preserve"> NUMPAGES   \* MERGEFORMAT </w:instrText>
    </w:r>
    <w:r w:rsidR="005B1775">
      <w:rPr>
        <w:noProof/>
      </w:rPr>
      <w:fldChar w:fldCharType="separate"/>
    </w:r>
    <w:r w:rsidR="00F70B11">
      <w:rPr>
        <w:noProof/>
      </w:rPr>
      <w:t>9</w:t>
    </w:r>
    <w:r w:rsidR="005B1775">
      <w:rPr>
        <w:noProof/>
      </w:rPr>
      <w:fldChar w:fldCharType="end"/>
    </w:r>
    <w:r w:rsidR="005B177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A1C9" w14:textId="77777777" w:rsidR="005B1775" w:rsidRDefault="005B1775" w:rsidP="00B272B5">
      <w:pPr>
        <w:spacing w:after="0" w:line="240" w:lineRule="auto"/>
      </w:pPr>
      <w:r>
        <w:separator/>
      </w:r>
    </w:p>
  </w:footnote>
  <w:footnote w:type="continuationSeparator" w:id="0">
    <w:p w14:paraId="4AEC5C12" w14:textId="77777777" w:rsidR="005B1775" w:rsidRDefault="005B1775" w:rsidP="00B272B5">
      <w:pPr>
        <w:spacing w:after="0" w:line="240" w:lineRule="auto"/>
      </w:pPr>
      <w:r>
        <w:continuationSeparator/>
      </w:r>
    </w:p>
  </w:footnote>
  <w:footnote w:type="continuationNotice" w:id="1">
    <w:p w14:paraId="341B0928" w14:textId="77777777" w:rsidR="005B1775" w:rsidRDefault="005B1775">
      <w:pPr>
        <w:spacing w:after="0" w:line="240" w:lineRule="auto"/>
      </w:pPr>
    </w:p>
  </w:footnote>
  <w:footnote w:id="2">
    <w:p w14:paraId="41C02E75" w14:textId="246A13EF" w:rsidR="005B1775" w:rsidRDefault="005B1775">
      <w:pPr>
        <w:pStyle w:val="FootnoteText"/>
      </w:pPr>
      <w:r>
        <w:rPr>
          <w:rStyle w:val="FootnoteReference"/>
        </w:rPr>
        <w:footnoteRef/>
      </w:r>
      <w:r>
        <w:t xml:space="preserve"> </w:t>
      </w:r>
      <w:r w:rsidRPr="00B272B5">
        <w:t>https://data.allens.com.au/pubs/pdf/cm/papsep09.pdf</w:t>
      </w:r>
    </w:p>
  </w:footnote>
  <w:footnote w:id="3">
    <w:p w14:paraId="11B155F7" w14:textId="684687FA" w:rsidR="005B1775" w:rsidRDefault="005B1775">
      <w:pPr>
        <w:pStyle w:val="FootnoteText"/>
      </w:pPr>
      <w:r>
        <w:rPr>
          <w:rStyle w:val="FootnoteReference"/>
        </w:rPr>
        <w:footnoteRef/>
      </w:r>
      <w:r w:rsidRPr="0058244C">
        <w:t>https://www.asxonline.com/content/dam/asxonline/public/documents/ReferencePoint/Accelerated%20Entitlement%20Offer%20Frequently%20Asked%20Questions%20V1%20.pdf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F157" w14:textId="381D43AF" w:rsidR="005B1775" w:rsidRDefault="00D70005" w:rsidP="00D70005">
    <w:pPr>
      <w:pStyle w:val="Header"/>
      <w:tabs>
        <w:tab w:val="clear" w:pos="4513"/>
        <w:tab w:val="clear" w:pos="9026"/>
        <w:tab w:val="left" w:pos="3705"/>
      </w:tabs>
    </w:pPr>
    <w:sdt>
      <w:sdtPr>
        <w:id w:val="-360282122"/>
        <w:docPartObj>
          <w:docPartGallery w:val="Watermarks"/>
          <w:docPartUnique/>
        </w:docPartObj>
      </w:sdtPr>
      <w:sdtContent>
        <w:r>
          <w:rPr>
            <w:noProof/>
          </w:rPr>
          <w:pict w14:anchorId="099A1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527.85pt;height:131.95pt;rotation:315;z-index:-25165363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B1775">
      <w:rPr>
        <w:noProof/>
        <w:lang w:eastAsia="en-GB"/>
      </w:rPr>
      <mc:AlternateContent>
        <mc:Choice Requires="wpg">
          <w:drawing>
            <wp:anchor distT="0" distB="0" distL="114300" distR="114300" simplePos="0" relativeHeight="251656704" behindDoc="0" locked="0" layoutInCell="1" allowOverlap="1" wp14:anchorId="66F3F384" wp14:editId="37238A74">
              <wp:simplePos x="0" y="0"/>
              <wp:positionH relativeFrom="margin">
                <wp:posOffset>5429885</wp:posOffset>
              </wp:positionH>
              <wp:positionV relativeFrom="paragraph">
                <wp:posOffset>81280</wp:posOffset>
              </wp:positionV>
              <wp:extent cx="321310" cy="240030"/>
              <wp:effectExtent l="0" t="0" r="21590" b="762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 cy="240030"/>
                        <a:chOff x="0" y="0"/>
                        <a:chExt cx="506" cy="378"/>
                      </a:xfrm>
                    </wpg:grpSpPr>
                    <wps:wsp>
                      <wps:cNvPr id="4" name="Freeform 4"/>
                      <wps:cNvSpPr>
                        <a:spLocks/>
                      </wps:cNvSpPr>
                      <wps:spPr bwMode="auto">
                        <a:xfrm>
                          <a:off x="10" y="10"/>
                          <a:ext cx="486" cy="358"/>
                        </a:xfrm>
                        <a:custGeom>
                          <a:avLst/>
                          <a:gdLst>
                            <a:gd name="T0" fmla="+- 0 352 10"/>
                            <a:gd name="T1" fmla="*/ T0 w 486"/>
                            <a:gd name="T2" fmla="+- 0 28 10"/>
                            <a:gd name="T3" fmla="*/ 28 h 358"/>
                            <a:gd name="T4" fmla="+- 0 347 10"/>
                            <a:gd name="T5" fmla="*/ T4 w 486"/>
                            <a:gd name="T6" fmla="+- 0 22 10"/>
                            <a:gd name="T7" fmla="*/ 22 h 358"/>
                            <a:gd name="T8" fmla="+- 0 341 10"/>
                            <a:gd name="T9" fmla="*/ T8 w 486"/>
                            <a:gd name="T10" fmla="+- 0 18 10"/>
                            <a:gd name="T11" fmla="*/ 18 h 358"/>
                            <a:gd name="T12" fmla="+- 0 334 10"/>
                            <a:gd name="T13" fmla="*/ T12 w 486"/>
                            <a:gd name="T14" fmla="+- 0 15 10"/>
                            <a:gd name="T15" fmla="*/ 15 h 358"/>
                            <a:gd name="T16" fmla="+- 0 328 10"/>
                            <a:gd name="T17" fmla="*/ T16 w 486"/>
                            <a:gd name="T18" fmla="+- 0 12 10"/>
                            <a:gd name="T19" fmla="*/ 12 h 358"/>
                            <a:gd name="T20" fmla="+- 0 320 10"/>
                            <a:gd name="T21" fmla="*/ T20 w 486"/>
                            <a:gd name="T22" fmla="+- 0 10 10"/>
                            <a:gd name="T23" fmla="*/ 10 h 358"/>
                            <a:gd name="T24" fmla="+- 0 313 10"/>
                            <a:gd name="T25" fmla="*/ T24 w 486"/>
                            <a:gd name="T26" fmla="+- 0 10 10"/>
                            <a:gd name="T27" fmla="*/ 10 h 358"/>
                            <a:gd name="T28" fmla="+- 0 299 10"/>
                            <a:gd name="T29" fmla="*/ T28 w 486"/>
                            <a:gd name="T30" fmla="+- 0 10 10"/>
                            <a:gd name="T31" fmla="*/ 10 h 358"/>
                            <a:gd name="T32" fmla="+- 0 288 10"/>
                            <a:gd name="T33" fmla="*/ T32 w 486"/>
                            <a:gd name="T34" fmla="+- 0 14 10"/>
                            <a:gd name="T35" fmla="*/ 14 h 358"/>
                            <a:gd name="T36" fmla="+- 0 278 10"/>
                            <a:gd name="T37" fmla="*/ T36 w 486"/>
                            <a:gd name="T38" fmla="+- 0 23 10"/>
                            <a:gd name="T39" fmla="*/ 23 h 358"/>
                            <a:gd name="T40" fmla="+- 0 268 10"/>
                            <a:gd name="T41" fmla="*/ T40 w 486"/>
                            <a:gd name="T42" fmla="+- 0 32 10"/>
                            <a:gd name="T43" fmla="*/ 32 h 358"/>
                            <a:gd name="T44" fmla="+- 0 263 10"/>
                            <a:gd name="T45" fmla="*/ T44 w 486"/>
                            <a:gd name="T46" fmla="+- 0 42 10"/>
                            <a:gd name="T47" fmla="*/ 42 h 358"/>
                            <a:gd name="T48" fmla="+- 0 263 10"/>
                            <a:gd name="T49" fmla="*/ T48 w 486"/>
                            <a:gd name="T50" fmla="+- 0 54 10"/>
                            <a:gd name="T51" fmla="*/ 54 h 358"/>
                            <a:gd name="T52" fmla="+- 0 263 10"/>
                            <a:gd name="T53" fmla="*/ T52 w 486"/>
                            <a:gd name="T54" fmla="+- 0 61 10"/>
                            <a:gd name="T55" fmla="*/ 61 h 358"/>
                            <a:gd name="T56" fmla="+- 0 264 10"/>
                            <a:gd name="T57" fmla="*/ T56 w 486"/>
                            <a:gd name="T58" fmla="+- 0 67 10"/>
                            <a:gd name="T59" fmla="*/ 67 h 358"/>
                            <a:gd name="T60" fmla="+- 0 267 10"/>
                            <a:gd name="T61" fmla="*/ T60 w 486"/>
                            <a:gd name="T62" fmla="+- 0 73 10"/>
                            <a:gd name="T63" fmla="*/ 73 h 358"/>
                            <a:gd name="T64" fmla="+- 0 270 10"/>
                            <a:gd name="T65" fmla="*/ T64 w 486"/>
                            <a:gd name="T66" fmla="+- 0 80 10"/>
                            <a:gd name="T67" fmla="*/ 80 h 358"/>
                            <a:gd name="T68" fmla="+- 0 274 10"/>
                            <a:gd name="T69" fmla="*/ T68 w 486"/>
                            <a:gd name="T70" fmla="+- 0 86 10"/>
                            <a:gd name="T71" fmla="*/ 86 h 358"/>
                            <a:gd name="T72" fmla="+- 0 280 10"/>
                            <a:gd name="T73" fmla="*/ T72 w 486"/>
                            <a:gd name="T74" fmla="+- 0 92 10"/>
                            <a:gd name="T75" fmla="*/ 92 h 358"/>
                            <a:gd name="T76" fmla="+- 0 319 10"/>
                            <a:gd name="T77" fmla="*/ T76 w 486"/>
                            <a:gd name="T78" fmla="+- 0 137 10"/>
                            <a:gd name="T79" fmla="*/ 137 h 358"/>
                            <a:gd name="T80" fmla="+- 0 62 10"/>
                            <a:gd name="T81" fmla="*/ T80 w 486"/>
                            <a:gd name="T82" fmla="+- 0 137 10"/>
                            <a:gd name="T83" fmla="*/ 137 h 358"/>
                            <a:gd name="T84" fmla="+- 0 47 10"/>
                            <a:gd name="T85" fmla="*/ T84 w 486"/>
                            <a:gd name="T86" fmla="+- 0 137 10"/>
                            <a:gd name="T87" fmla="*/ 137 h 358"/>
                            <a:gd name="T88" fmla="+- 0 35 10"/>
                            <a:gd name="T89" fmla="*/ T88 w 486"/>
                            <a:gd name="T90" fmla="+- 0 142 10"/>
                            <a:gd name="T91" fmla="*/ 142 h 358"/>
                            <a:gd name="T92" fmla="+- 0 25 10"/>
                            <a:gd name="T93" fmla="*/ T92 w 486"/>
                            <a:gd name="T94" fmla="+- 0 152 10"/>
                            <a:gd name="T95" fmla="*/ 152 h 358"/>
                            <a:gd name="T96" fmla="+- 0 15 10"/>
                            <a:gd name="T97" fmla="*/ T96 w 486"/>
                            <a:gd name="T98" fmla="+- 0 162 10"/>
                            <a:gd name="T99" fmla="*/ 162 h 358"/>
                            <a:gd name="T100" fmla="+- 0 10 10"/>
                            <a:gd name="T101" fmla="*/ T100 w 486"/>
                            <a:gd name="T102" fmla="+- 0 174 10"/>
                            <a:gd name="T103" fmla="*/ 174 h 358"/>
                            <a:gd name="T104" fmla="+- 0 10 10"/>
                            <a:gd name="T105" fmla="*/ T104 w 486"/>
                            <a:gd name="T106" fmla="+- 0 189 10"/>
                            <a:gd name="T107" fmla="*/ 189 h 358"/>
                            <a:gd name="T108" fmla="+- 0 47 10"/>
                            <a:gd name="T109" fmla="*/ T108 w 486"/>
                            <a:gd name="T110" fmla="+- 0 241 10"/>
                            <a:gd name="T111" fmla="*/ 241 h 358"/>
                            <a:gd name="T112" fmla="+- 0 62 10"/>
                            <a:gd name="T113" fmla="*/ T112 w 486"/>
                            <a:gd name="T114" fmla="+- 0 241 10"/>
                            <a:gd name="T115" fmla="*/ 241 h 358"/>
                            <a:gd name="T116" fmla="+- 0 319 10"/>
                            <a:gd name="T117" fmla="*/ T116 w 486"/>
                            <a:gd name="T118" fmla="+- 0 241 10"/>
                            <a:gd name="T119" fmla="*/ 241 h 358"/>
                            <a:gd name="T120" fmla="+- 0 280 10"/>
                            <a:gd name="T121" fmla="*/ T120 w 486"/>
                            <a:gd name="T122" fmla="+- 0 280 10"/>
                            <a:gd name="T123" fmla="*/ 280 h 358"/>
                            <a:gd name="T124" fmla="+- 0 274 10"/>
                            <a:gd name="T125" fmla="*/ T124 w 486"/>
                            <a:gd name="T126" fmla="+- 0 286 10"/>
                            <a:gd name="T127" fmla="*/ 286 h 358"/>
                            <a:gd name="T128" fmla="+- 0 270 10"/>
                            <a:gd name="T129" fmla="*/ T128 w 486"/>
                            <a:gd name="T130" fmla="+- 0 292 10"/>
                            <a:gd name="T131" fmla="*/ 292 h 358"/>
                            <a:gd name="T132" fmla="+- 0 267 10"/>
                            <a:gd name="T133" fmla="*/ T132 w 486"/>
                            <a:gd name="T134" fmla="+- 0 298 10"/>
                            <a:gd name="T135" fmla="*/ 298 h 358"/>
                            <a:gd name="T136" fmla="+- 0 264 10"/>
                            <a:gd name="T137" fmla="*/ T136 w 486"/>
                            <a:gd name="T138" fmla="+- 0 305 10"/>
                            <a:gd name="T139" fmla="*/ 305 h 358"/>
                            <a:gd name="T140" fmla="+- 0 263 10"/>
                            <a:gd name="T141" fmla="*/ T140 w 486"/>
                            <a:gd name="T142" fmla="+- 0 312 10"/>
                            <a:gd name="T143" fmla="*/ 312 h 358"/>
                            <a:gd name="T144" fmla="+- 0 263 10"/>
                            <a:gd name="T145" fmla="*/ T144 w 486"/>
                            <a:gd name="T146" fmla="+- 0 320 10"/>
                            <a:gd name="T147" fmla="*/ 320 h 358"/>
                            <a:gd name="T148" fmla="+- 0 263 10"/>
                            <a:gd name="T149" fmla="*/ T148 w 486"/>
                            <a:gd name="T150" fmla="+- 0 333 10"/>
                            <a:gd name="T151" fmla="*/ 333 h 358"/>
                            <a:gd name="T152" fmla="+- 0 268 10"/>
                            <a:gd name="T153" fmla="*/ T152 w 486"/>
                            <a:gd name="T154" fmla="+- 0 345 10"/>
                            <a:gd name="T155" fmla="*/ 345 h 358"/>
                            <a:gd name="T156" fmla="+- 0 277 10"/>
                            <a:gd name="T157" fmla="*/ T156 w 486"/>
                            <a:gd name="T158" fmla="+- 0 354 10"/>
                            <a:gd name="T159" fmla="*/ 354 h 358"/>
                            <a:gd name="T160" fmla="+- 0 287 10"/>
                            <a:gd name="T161" fmla="*/ T160 w 486"/>
                            <a:gd name="T162" fmla="+- 0 363 10"/>
                            <a:gd name="T163" fmla="*/ 363 h 358"/>
                            <a:gd name="T164" fmla="+- 0 299 10"/>
                            <a:gd name="T165" fmla="*/ T164 w 486"/>
                            <a:gd name="T166" fmla="+- 0 368 10"/>
                            <a:gd name="T167" fmla="*/ 368 h 358"/>
                            <a:gd name="T168" fmla="+- 0 313 10"/>
                            <a:gd name="T169" fmla="*/ T168 w 486"/>
                            <a:gd name="T170" fmla="+- 0 368 10"/>
                            <a:gd name="T171" fmla="*/ 368 h 358"/>
                            <a:gd name="T172" fmla="+- 0 320 10"/>
                            <a:gd name="T173" fmla="*/ T172 w 486"/>
                            <a:gd name="T174" fmla="+- 0 368 10"/>
                            <a:gd name="T175" fmla="*/ 368 h 358"/>
                            <a:gd name="T176" fmla="+- 0 327 10"/>
                            <a:gd name="T177" fmla="*/ T176 w 486"/>
                            <a:gd name="T178" fmla="+- 0 366 10"/>
                            <a:gd name="T179" fmla="*/ 366 h 358"/>
                            <a:gd name="T180" fmla="+- 0 334 10"/>
                            <a:gd name="T181" fmla="*/ T180 w 486"/>
                            <a:gd name="T182" fmla="+- 0 363 10"/>
                            <a:gd name="T183" fmla="*/ 363 h 358"/>
                            <a:gd name="T184" fmla="+- 0 341 10"/>
                            <a:gd name="T185" fmla="*/ T184 w 486"/>
                            <a:gd name="T186" fmla="+- 0 360 10"/>
                            <a:gd name="T187" fmla="*/ 360 h 358"/>
                            <a:gd name="T188" fmla="+- 0 346 10"/>
                            <a:gd name="T189" fmla="*/ T188 w 486"/>
                            <a:gd name="T190" fmla="+- 0 356 10"/>
                            <a:gd name="T191" fmla="*/ 356 h 358"/>
                            <a:gd name="T192" fmla="+- 0 352 10"/>
                            <a:gd name="T193" fmla="*/ T192 w 486"/>
                            <a:gd name="T194" fmla="+- 0 350 10"/>
                            <a:gd name="T195" fmla="*/ 350 h 358"/>
                            <a:gd name="T196" fmla="+- 0 495 10"/>
                            <a:gd name="T197" fmla="*/ T196 w 486"/>
                            <a:gd name="T198" fmla="+- 0 189 10"/>
                            <a:gd name="T199" fmla="*/ 189 h 358"/>
                            <a:gd name="T200" fmla="+- 0 352 10"/>
                            <a:gd name="T201" fmla="*/ T200 w 486"/>
                            <a:gd name="T202" fmla="+- 0 28 10"/>
                            <a:gd name="T203" fmla="*/ 28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6" h="358">
                              <a:moveTo>
                                <a:pt x="342" y="18"/>
                              </a:moveTo>
                              <a:lnTo>
                                <a:pt x="337" y="12"/>
                              </a:lnTo>
                              <a:lnTo>
                                <a:pt x="331" y="8"/>
                              </a:lnTo>
                              <a:lnTo>
                                <a:pt x="324" y="5"/>
                              </a:lnTo>
                              <a:lnTo>
                                <a:pt x="318" y="2"/>
                              </a:lnTo>
                              <a:lnTo>
                                <a:pt x="310" y="0"/>
                              </a:lnTo>
                              <a:lnTo>
                                <a:pt x="303" y="0"/>
                              </a:lnTo>
                              <a:lnTo>
                                <a:pt x="289" y="0"/>
                              </a:lnTo>
                              <a:lnTo>
                                <a:pt x="278" y="4"/>
                              </a:lnTo>
                              <a:lnTo>
                                <a:pt x="268" y="13"/>
                              </a:lnTo>
                              <a:lnTo>
                                <a:pt x="258" y="22"/>
                              </a:lnTo>
                              <a:lnTo>
                                <a:pt x="253" y="32"/>
                              </a:lnTo>
                              <a:lnTo>
                                <a:pt x="253" y="44"/>
                              </a:lnTo>
                              <a:lnTo>
                                <a:pt x="253" y="51"/>
                              </a:lnTo>
                              <a:lnTo>
                                <a:pt x="254" y="57"/>
                              </a:lnTo>
                              <a:lnTo>
                                <a:pt x="257" y="63"/>
                              </a:lnTo>
                              <a:lnTo>
                                <a:pt x="260" y="70"/>
                              </a:lnTo>
                              <a:lnTo>
                                <a:pt x="264" y="76"/>
                              </a:lnTo>
                              <a:lnTo>
                                <a:pt x="270" y="82"/>
                              </a:lnTo>
                              <a:lnTo>
                                <a:pt x="309" y="127"/>
                              </a:lnTo>
                              <a:lnTo>
                                <a:pt x="52" y="127"/>
                              </a:lnTo>
                              <a:lnTo>
                                <a:pt x="37" y="127"/>
                              </a:lnTo>
                              <a:lnTo>
                                <a:pt x="25" y="132"/>
                              </a:lnTo>
                              <a:lnTo>
                                <a:pt x="15" y="142"/>
                              </a:lnTo>
                              <a:lnTo>
                                <a:pt x="5" y="152"/>
                              </a:lnTo>
                              <a:lnTo>
                                <a:pt x="0" y="164"/>
                              </a:lnTo>
                              <a:lnTo>
                                <a:pt x="0" y="179"/>
                              </a:lnTo>
                              <a:lnTo>
                                <a:pt x="37" y="231"/>
                              </a:lnTo>
                              <a:lnTo>
                                <a:pt x="52" y="231"/>
                              </a:lnTo>
                              <a:lnTo>
                                <a:pt x="309" y="231"/>
                              </a:lnTo>
                              <a:lnTo>
                                <a:pt x="270" y="270"/>
                              </a:lnTo>
                              <a:lnTo>
                                <a:pt x="264" y="276"/>
                              </a:lnTo>
                              <a:lnTo>
                                <a:pt x="260" y="282"/>
                              </a:lnTo>
                              <a:lnTo>
                                <a:pt x="257" y="288"/>
                              </a:lnTo>
                              <a:lnTo>
                                <a:pt x="254" y="295"/>
                              </a:lnTo>
                              <a:lnTo>
                                <a:pt x="253" y="302"/>
                              </a:lnTo>
                              <a:lnTo>
                                <a:pt x="253" y="310"/>
                              </a:lnTo>
                              <a:lnTo>
                                <a:pt x="253" y="323"/>
                              </a:lnTo>
                              <a:lnTo>
                                <a:pt x="258" y="335"/>
                              </a:lnTo>
                              <a:lnTo>
                                <a:pt x="267" y="344"/>
                              </a:lnTo>
                              <a:lnTo>
                                <a:pt x="277" y="353"/>
                              </a:lnTo>
                              <a:lnTo>
                                <a:pt x="289" y="358"/>
                              </a:lnTo>
                              <a:lnTo>
                                <a:pt x="303" y="358"/>
                              </a:lnTo>
                              <a:lnTo>
                                <a:pt x="310" y="358"/>
                              </a:lnTo>
                              <a:lnTo>
                                <a:pt x="317" y="356"/>
                              </a:lnTo>
                              <a:lnTo>
                                <a:pt x="324" y="353"/>
                              </a:lnTo>
                              <a:lnTo>
                                <a:pt x="331" y="350"/>
                              </a:lnTo>
                              <a:lnTo>
                                <a:pt x="336" y="346"/>
                              </a:lnTo>
                              <a:lnTo>
                                <a:pt x="342" y="340"/>
                              </a:lnTo>
                              <a:lnTo>
                                <a:pt x="485" y="179"/>
                              </a:lnTo>
                              <a:lnTo>
                                <a:pt x="342" y="18"/>
                              </a:lnTo>
                              <a:close/>
                            </a:path>
                          </a:pathLst>
                        </a:custGeom>
                        <a:noFill/>
                        <a:ln w="12700">
                          <a:solidFill>
                            <a:srgbClr val="2EBC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E10B0" id="Group 3" o:spid="_x0000_s1026" style="position:absolute;margin-left:427.55pt;margin-top:6.4pt;width:25.3pt;height:18.9pt;z-index:251656704;mso-position-horizontal-relative:margin" coordsize="50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">
              <v:shape id="Freeform 4" o:spid="_x0000_s1027" style="position:absolute;left:10;top:10;width:486;height:358;visibility:visible;mso-wrap-style:square;v-text-anchor:top" coordsize="48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" path="m342,18r-5,-6l331,8,324,5,318,2,310,r-7,l289,,278,4r-10,9l258,22r-5,10l253,44r,7l254,57r3,6l260,70r4,6l270,82r39,45l52,127r-15,l25,132,15,142,5,152,,164r,15l37,231r15,l309,231r-39,39l264,276r-4,6l257,288r-3,7l253,302r,8l253,323r5,12l267,344r10,9l289,358r14,l310,358r7,-2l324,353r7,-3l336,346r6,-6l485,179,342,18xe" filled="f" strokecolor="#2ebcb4" strokeweight="1pt">
                <v:path arrowok="t" o:connecttype="custom" o:connectlocs="342,28;337,22;331,18;324,15;318,12;310,10;303,10;289,10;278,14;268,23;258,32;253,42;253,54;253,61;254,67;257,73;260,80;264,86;270,92;309,137;52,137;37,137;25,142;15,152;5,162;0,174;0,189;37,241;52,241;309,241;270,280;264,286;260,292;257,298;254,305;253,312;253,320;253,333;258,345;267,354;277,363;289,368;303,368;310,368;317,366;324,363;331,360;336,356;342,350;485,189;342,28" o:connectangles="0,0,0,0,0,0,0,0,0,0,0,0,0,0,0,0,0,0,0,0,0,0,0,0,0,0,0,0,0,0,0,0,0,0,0,0,0,0,0,0,0,0,0,0,0,0,0,0,0,0,0"/>
              </v:shape>
              <w10:wrap type="square" anchorx="margin"/>
            </v:group>
          </w:pict>
        </mc:Fallback>
      </mc:AlternateContent>
    </w:r>
    <w:r>
      <w:tab/>
    </w:r>
    <w:r w:rsidRPr="00D70005">
      <w:rPr>
        <w:highlight w:val="yellow"/>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51FF" w14:textId="70169E50" w:rsidR="005B1775" w:rsidRPr="00D70005" w:rsidRDefault="00D70005" w:rsidP="00D70005">
    <w:pPr>
      <w:pStyle w:val="Header"/>
      <w:tabs>
        <w:tab w:val="left" w:pos="1125"/>
        <w:tab w:val="center" w:pos="3049"/>
      </w:tabs>
      <w:rPr>
        <w:b/>
        <w:bCs/>
        <w:color w:val="auto"/>
      </w:rPr>
    </w:pPr>
    <w:r>
      <w:tab/>
    </w:r>
    <w:r>
      <w:tab/>
    </w:r>
    <w:r w:rsidR="005B1775" w:rsidRPr="00D70005">
      <w:rPr>
        <w:b/>
        <w:bCs/>
        <w:noProof/>
        <w:color w:val="auto"/>
        <w:highlight w:val="yellow"/>
        <w:lang w:eastAsia="en-GB"/>
      </w:rPr>
      <w:drawing>
        <wp:anchor distT="0" distB="0" distL="114300" distR="114300" simplePos="0" relativeHeight="251658752" behindDoc="0" locked="0" layoutInCell="1" allowOverlap="1" wp14:anchorId="0C80328A" wp14:editId="698353A3">
          <wp:simplePos x="0" y="0"/>
          <wp:positionH relativeFrom="margin">
            <wp:posOffset>0</wp:posOffset>
          </wp:positionH>
          <wp:positionV relativeFrom="paragraph">
            <wp:posOffset>163195</wp:posOffset>
          </wp:positionV>
          <wp:extent cx="1701165" cy="838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65" cy="838835"/>
                  </a:xfrm>
                  <a:prstGeom prst="rect">
                    <a:avLst/>
                  </a:prstGeom>
                </pic:spPr>
              </pic:pic>
            </a:graphicData>
          </a:graphic>
          <wp14:sizeRelH relativeFrom="page">
            <wp14:pctWidth>0</wp14:pctWidth>
          </wp14:sizeRelH>
          <wp14:sizeRelV relativeFrom="page">
            <wp14:pctHeight>0</wp14:pctHeight>
          </wp14:sizeRelV>
        </wp:anchor>
      </w:drawing>
    </w:r>
    <w:r w:rsidRPr="00D70005">
      <w:rPr>
        <w:b/>
        <w:bCs/>
        <w:color w:val="auto"/>
        <w:highlight w:val="yellow"/>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14698DC"/>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cs="Times New Roman"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cs="Times New Roman"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cs="Times New Roman"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 w15:restartNumberingAfterBreak="0">
    <w:nsid w:val="01D164A0"/>
    <w:multiLevelType w:val="hybridMultilevel"/>
    <w:tmpl w:val="9070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C2E42"/>
    <w:multiLevelType w:val="hybridMultilevel"/>
    <w:tmpl w:val="94F2A8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A416C3"/>
    <w:multiLevelType w:val="hybridMultilevel"/>
    <w:tmpl w:val="2E40C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D4060"/>
    <w:multiLevelType w:val="hybridMultilevel"/>
    <w:tmpl w:val="41F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B2EE9"/>
    <w:multiLevelType w:val="hybridMultilevel"/>
    <w:tmpl w:val="9930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F0DA9"/>
    <w:multiLevelType w:val="hybridMultilevel"/>
    <w:tmpl w:val="B52CC6FE"/>
    <w:lvl w:ilvl="0" w:tplc="0809000F">
      <w:start w:val="1"/>
      <w:numFmt w:val="decimal"/>
      <w:lvlText w:val="%1."/>
      <w:lvlJc w:val="left"/>
      <w:pPr>
        <w:ind w:left="720" w:hanging="360"/>
      </w:pPr>
    </w:lvl>
    <w:lvl w:ilvl="1" w:tplc="820A211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A0FFC"/>
    <w:multiLevelType w:val="hybridMultilevel"/>
    <w:tmpl w:val="EE1E93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537EC6"/>
    <w:multiLevelType w:val="hybridMultilevel"/>
    <w:tmpl w:val="A0AA406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9" w15:restartNumberingAfterBreak="0">
    <w:nsid w:val="245E5FF9"/>
    <w:multiLevelType w:val="hybridMultilevel"/>
    <w:tmpl w:val="25129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723E4"/>
    <w:multiLevelType w:val="hybridMultilevel"/>
    <w:tmpl w:val="B61AB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B92068"/>
    <w:multiLevelType w:val="hybridMultilevel"/>
    <w:tmpl w:val="C9A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703D5"/>
    <w:multiLevelType w:val="hybridMultilevel"/>
    <w:tmpl w:val="60889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1E2A2D"/>
    <w:multiLevelType w:val="hybridMultilevel"/>
    <w:tmpl w:val="E4AA0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423D8"/>
    <w:multiLevelType w:val="hybridMultilevel"/>
    <w:tmpl w:val="202EF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83378"/>
    <w:multiLevelType w:val="hybridMultilevel"/>
    <w:tmpl w:val="612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3106F"/>
    <w:multiLevelType w:val="hybridMultilevel"/>
    <w:tmpl w:val="2D7C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7078E"/>
    <w:multiLevelType w:val="hybridMultilevel"/>
    <w:tmpl w:val="23FE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8655C"/>
    <w:multiLevelType w:val="hybridMultilevel"/>
    <w:tmpl w:val="58D68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12A9E"/>
    <w:multiLevelType w:val="multilevel"/>
    <w:tmpl w:val="5EBA96DA"/>
    <w:lvl w:ilvl="0">
      <w:start w:val="1"/>
      <w:numFmt w:val="decimal"/>
      <w:pStyle w:val="Heading4"/>
      <w:lvlText w:val="%1."/>
      <w:lvlJc w:val="left"/>
      <w:pPr>
        <w:ind w:left="360" w:hanging="360"/>
      </w:pPr>
      <w:rPr>
        <w:rFonts w:hint="default"/>
      </w:rPr>
    </w:lvl>
    <w:lvl w:ilvl="1">
      <w:start w:val="1"/>
      <w:numFmt w:val="decimal"/>
      <w:pStyle w:val="Heading3"/>
      <w:isLgl/>
      <w:lvlText w:val="%1.%2"/>
      <w:lvlJc w:val="left"/>
      <w:pPr>
        <w:ind w:left="801" w:hanging="375"/>
      </w:pPr>
      <w:rPr>
        <w:b w:val="0"/>
        <w:bCs w:val="0"/>
        <w:i w:val="0"/>
        <w:iCs w:val="0"/>
        <w:caps w:val="0"/>
        <w:smallCaps w:val="0"/>
        <w:strike w:val="0"/>
        <w:dstrike w:val="0"/>
        <w:outline w:val="0"/>
        <w:shadow w:val="0"/>
        <w:emboss w:val="0"/>
        <w:imprint w:val="0"/>
        <w:noProof w:val="0"/>
        <w:vanish w:val="0"/>
        <w:color w:val="00206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val="0"/>
        <w:sz w:val="22"/>
        <w:szCs w:val="22"/>
      </w:rPr>
    </w:lvl>
    <w:lvl w:ilvl="3">
      <w:start w:val="1"/>
      <w:numFmt w:val="decimal"/>
      <w:pStyle w:val="ListNumbering"/>
      <w:isLg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Number41"/>
      <w:isLgl/>
      <w:lvlText w:val="%1.%2.%3.%4.%5"/>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NumberStyle6"/>
      <w:isLgl/>
      <w:lvlText w:val="%1.%2.%3.%4.%5.%6"/>
      <w:lvlJc w:val="left"/>
      <w:pPr>
        <w:ind w:left="1080" w:hanging="1080"/>
      </w:pPr>
      <w:rPr>
        <w:rFonts w:hint="default"/>
        <w:b w:val="0"/>
        <w:sz w:val="22"/>
        <w:szCs w:val="22"/>
      </w:rPr>
    </w:lvl>
    <w:lvl w:ilvl="6">
      <w:start w:val="1"/>
      <w:numFmt w:val="decimal"/>
      <w:pStyle w:val="ListNumberStyle2"/>
      <w:isLgl/>
      <w:lvlText w:val="%1.%2.%3.%4.%5.%6.%7"/>
      <w:lvlJc w:val="left"/>
      <w:pPr>
        <w:ind w:left="1440" w:hanging="1440"/>
      </w:pPr>
      <w:rPr>
        <w:rFonts w:hint="default"/>
        <w:b w:val="0"/>
        <w:sz w:val="22"/>
        <w:szCs w:val="22"/>
      </w:rPr>
    </w:lvl>
    <w:lvl w:ilvl="7">
      <w:start w:val="1"/>
      <w:numFmt w:val="decimal"/>
      <w:pStyle w:val="ListNumberStyle3"/>
      <w:isLgl/>
      <w:lvlText w:val="%1.%2.%3.%4.%5.%6.%7.%8"/>
      <w:lvlJc w:val="left"/>
      <w:pPr>
        <w:ind w:left="1440" w:hanging="1440"/>
      </w:pPr>
      <w:rPr>
        <w:rFonts w:hint="default"/>
        <w:b w:val="0"/>
        <w:sz w:val="22"/>
        <w:szCs w:val="22"/>
      </w:rPr>
    </w:lvl>
    <w:lvl w:ilvl="8">
      <w:start w:val="1"/>
      <w:numFmt w:val="decimal"/>
      <w:pStyle w:val="ListNumberStyle5"/>
      <w:isLgl/>
      <w:lvlText w:val="%1.%2.%3.%4.%5.%6.%7.%8.%9"/>
      <w:lvlJc w:val="left"/>
      <w:pPr>
        <w:ind w:left="1942" w:hanging="1800"/>
      </w:pPr>
      <w:rPr>
        <w:rFonts w:hint="default"/>
        <w:b w:val="0"/>
        <w:sz w:val="22"/>
        <w:szCs w:val="22"/>
      </w:rPr>
    </w:lvl>
  </w:abstractNum>
  <w:abstractNum w:abstractNumId="20" w15:restartNumberingAfterBreak="0">
    <w:nsid w:val="69E0151D"/>
    <w:multiLevelType w:val="hybridMultilevel"/>
    <w:tmpl w:val="0A908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A089622">
      <w:start w:val="2"/>
      <w:numFmt w:val="bullet"/>
      <w:lvlText w:val="-"/>
      <w:lvlJc w:val="left"/>
      <w:pPr>
        <w:ind w:left="2160" w:hanging="360"/>
      </w:pPr>
      <w:rPr>
        <w:rFonts w:ascii="Humnst777LtBT" w:eastAsiaTheme="minorHAnsi" w:hAnsi="Humnst777LtBT" w:cs="Humnst777LtB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62EBD"/>
    <w:multiLevelType w:val="hybridMultilevel"/>
    <w:tmpl w:val="AE20A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2A446A5"/>
    <w:multiLevelType w:val="hybridMultilevel"/>
    <w:tmpl w:val="F4C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14"/>
  </w:num>
  <w:num w:numId="5">
    <w:abstractNumId w:val="0"/>
  </w:num>
  <w:num w:numId="6">
    <w:abstractNumId w:val="20"/>
  </w:num>
  <w:num w:numId="7">
    <w:abstractNumId w:val="17"/>
  </w:num>
  <w:num w:numId="8">
    <w:abstractNumId w:val="18"/>
  </w:num>
  <w:num w:numId="9">
    <w:abstractNumId w:val="1"/>
  </w:num>
  <w:num w:numId="10">
    <w:abstractNumId w:val="12"/>
  </w:num>
  <w:num w:numId="11">
    <w:abstractNumId w:val="21"/>
  </w:num>
  <w:num w:numId="12">
    <w:abstractNumId w:val="8"/>
  </w:num>
  <w:num w:numId="13">
    <w:abstractNumId w:val="2"/>
  </w:num>
  <w:num w:numId="14">
    <w:abstractNumId w:val="5"/>
  </w:num>
  <w:num w:numId="15">
    <w:abstractNumId w:val="3"/>
  </w:num>
  <w:num w:numId="16">
    <w:abstractNumId w:val="13"/>
  </w:num>
  <w:num w:numId="17">
    <w:abstractNumId w:val="7"/>
  </w:num>
  <w:num w:numId="18">
    <w:abstractNumId w:val="16"/>
  </w:num>
  <w:num w:numId="19">
    <w:abstractNumId w:val="15"/>
  </w:num>
  <w:num w:numId="20">
    <w:abstractNumId w:val="22"/>
  </w:num>
  <w:num w:numId="21">
    <w:abstractNumId w:val="4"/>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FD"/>
    <w:rsid w:val="00001C1B"/>
    <w:rsid w:val="00003017"/>
    <w:rsid w:val="00006AD6"/>
    <w:rsid w:val="00011C08"/>
    <w:rsid w:val="00017604"/>
    <w:rsid w:val="000244DC"/>
    <w:rsid w:val="000258F8"/>
    <w:rsid w:val="00031A7E"/>
    <w:rsid w:val="00040665"/>
    <w:rsid w:val="00050B85"/>
    <w:rsid w:val="00062D01"/>
    <w:rsid w:val="00063F68"/>
    <w:rsid w:val="00065251"/>
    <w:rsid w:val="0007393A"/>
    <w:rsid w:val="00077D12"/>
    <w:rsid w:val="000806C3"/>
    <w:rsid w:val="00085B21"/>
    <w:rsid w:val="00092AB0"/>
    <w:rsid w:val="0009314D"/>
    <w:rsid w:val="00094A0F"/>
    <w:rsid w:val="00094E86"/>
    <w:rsid w:val="00095046"/>
    <w:rsid w:val="000A36B5"/>
    <w:rsid w:val="000A5269"/>
    <w:rsid w:val="000A59E8"/>
    <w:rsid w:val="000A5AC1"/>
    <w:rsid w:val="000A7A85"/>
    <w:rsid w:val="000B1E2A"/>
    <w:rsid w:val="000C6A7F"/>
    <w:rsid w:val="000C7752"/>
    <w:rsid w:val="000E05EF"/>
    <w:rsid w:val="000E1077"/>
    <w:rsid w:val="000E2E10"/>
    <w:rsid w:val="000E5ED0"/>
    <w:rsid w:val="000E6143"/>
    <w:rsid w:val="000F01E8"/>
    <w:rsid w:val="000F288A"/>
    <w:rsid w:val="000F5E4E"/>
    <w:rsid w:val="000F6C84"/>
    <w:rsid w:val="000F6E04"/>
    <w:rsid w:val="001118C6"/>
    <w:rsid w:val="00112C16"/>
    <w:rsid w:val="0011595D"/>
    <w:rsid w:val="001178C2"/>
    <w:rsid w:val="001206E1"/>
    <w:rsid w:val="00121A5D"/>
    <w:rsid w:val="00121A7C"/>
    <w:rsid w:val="00136FB8"/>
    <w:rsid w:val="00144211"/>
    <w:rsid w:val="00145232"/>
    <w:rsid w:val="00147D99"/>
    <w:rsid w:val="001539E7"/>
    <w:rsid w:val="00163DA5"/>
    <w:rsid w:val="00163F30"/>
    <w:rsid w:val="00166316"/>
    <w:rsid w:val="00171D35"/>
    <w:rsid w:val="001721C7"/>
    <w:rsid w:val="00174497"/>
    <w:rsid w:val="0017786B"/>
    <w:rsid w:val="00181E16"/>
    <w:rsid w:val="001824A8"/>
    <w:rsid w:val="001962A1"/>
    <w:rsid w:val="001A01DC"/>
    <w:rsid w:val="001A2E06"/>
    <w:rsid w:val="001A5D13"/>
    <w:rsid w:val="001B4FE0"/>
    <w:rsid w:val="001B5D58"/>
    <w:rsid w:val="001C705E"/>
    <w:rsid w:val="001D0B90"/>
    <w:rsid w:val="001E0499"/>
    <w:rsid w:val="001E2287"/>
    <w:rsid w:val="001E3F92"/>
    <w:rsid w:val="001F063E"/>
    <w:rsid w:val="001F1AE5"/>
    <w:rsid w:val="001F32A7"/>
    <w:rsid w:val="001F3489"/>
    <w:rsid w:val="00200073"/>
    <w:rsid w:val="0020190C"/>
    <w:rsid w:val="00206FB4"/>
    <w:rsid w:val="00213465"/>
    <w:rsid w:val="00214BEC"/>
    <w:rsid w:val="002152D7"/>
    <w:rsid w:val="002163B3"/>
    <w:rsid w:val="00223897"/>
    <w:rsid w:val="00223C92"/>
    <w:rsid w:val="00224538"/>
    <w:rsid w:val="002304DA"/>
    <w:rsid w:val="002318B7"/>
    <w:rsid w:val="00231FCD"/>
    <w:rsid w:val="00236326"/>
    <w:rsid w:val="0023695E"/>
    <w:rsid w:val="002438E9"/>
    <w:rsid w:val="0024443E"/>
    <w:rsid w:val="00246776"/>
    <w:rsid w:val="00250133"/>
    <w:rsid w:val="00250694"/>
    <w:rsid w:val="00250E67"/>
    <w:rsid w:val="00253F35"/>
    <w:rsid w:val="0025576A"/>
    <w:rsid w:val="00264C9B"/>
    <w:rsid w:val="0028405F"/>
    <w:rsid w:val="00286A96"/>
    <w:rsid w:val="0029160D"/>
    <w:rsid w:val="002916D9"/>
    <w:rsid w:val="00296745"/>
    <w:rsid w:val="002A1C69"/>
    <w:rsid w:val="002B256A"/>
    <w:rsid w:val="002B3BB0"/>
    <w:rsid w:val="002B4879"/>
    <w:rsid w:val="002B570E"/>
    <w:rsid w:val="002C2D13"/>
    <w:rsid w:val="002C33A6"/>
    <w:rsid w:val="002C5750"/>
    <w:rsid w:val="002C765E"/>
    <w:rsid w:val="002C783D"/>
    <w:rsid w:val="002C7AC7"/>
    <w:rsid w:val="002D0CC4"/>
    <w:rsid w:val="002D2FFD"/>
    <w:rsid w:val="002D6BD6"/>
    <w:rsid w:val="002D7288"/>
    <w:rsid w:val="002E1978"/>
    <w:rsid w:val="002E1AD6"/>
    <w:rsid w:val="002F156B"/>
    <w:rsid w:val="002F1F0C"/>
    <w:rsid w:val="002F3A5B"/>
    <w:rsid w:val="002F598D"/>
    <w:rsid w:val="002F6635"/>
    <w:rsid w:val="002F73FE"/>
    <w:rsid w:val="003005DF"/>
    <w:rsid w:val="0030218C"/>
    <w:rsid w:val="00303F85"/>
    <w:rsid w:val="00307E70"/>
    <w:rsid w:val="00311831"/>
    <w:rsid w:val="00315A86"/>
    <w:rsid w:val="00322E6F"/>
    <w:rsid w:val="00323748"/>
    <w:rsid w:val="003328CF"/>
    <w:rsid w:val="003353EC"/>
    <w:rsid w:val="003370FF"/>
    <w:rsid w:val="003372D9"/>
    <w:rsid w:val="0035069D"/>
    <w:rsid w:val="00357992"/>
    <w:rsid w:val="00363131"/>
    <w:rsid w:val="0036561B"/>
    <w:rsid w:val="0037093C"/>
    <w:rsid w:val="00371BF7"/>
    <w:rsid w:val="00375550"/>
    <w:rsid w:val="0039186B"/>
    <w:rsid w:val="00396220"/>
    <w:rsid w:val="003A0B31"/>
    <w:rsid w:val="003A1DFD"/>
    <w:rsid w:val="003A315B"/>
    <w:rsid w:val="003A6CFE"/>
    <w:rsid w:val="003B2A04"/>
    <w:rsid w:val="003B394A"/>
    <w:rsid w:val="003B419B"/>
    <w:rsid w:val="003C0E89"/>
    <w:rsid w:val="003C78D8"/>
    <w:rsid w:val="003C797F"/>
    <w:rsid w:val="003D0843"/>
    <w:rsid w:val="003D0E56"/>
    <w:rsid w:val="003D12D5"/>
    <w:rsid w:val="003D1913"/>
    <w:rsid w:val="003D5A05"/>
    <w:rsid w:val="003D7E0C"/>
    <w:rsid w:val="003E0670"/>
    <w:rsid w:val="003E07C6"/>
    <w:rsid w:val="003E2241"/>
    <w:rsid w:val="003E23D1"/>
    <w:rsid w:val="003E69C2"/>
    <w:rsid w:val="003F0598"/>
    <w:rsid w:val="003F55DC"/>
    <w:rsid w:val="003F5AAC"/>
    <w:rsid w:val="003F5FF6"/>
    <w:rsid w:val="00404B1B"/>
    <w:rsid w:val="0041219C"/>
    <w:rsid w:val="00425FEE"/>
    <w:rsid w:val="00426AF4"/>
    <w:rsid w:val="004275A8"/>
    <w:rsid w:val="0042776E"/>
    <w:rsid w:val="004308D4"/>
    <w:rsid w:val="00435140"/>
    <w:rsid w:val="00436372"/>
    <w:rsid w:val="00440CF4"/>
    <w:rsid w:val="004446F7"/>
    <w:rsid w:val="00445C85"/>
    <w:rsid w:val="0045091D"/>
    <w:rsid w:val="00453A7B"/>
    <w:rsid w:val="00454BEB"/>
    <w:rsid w:val="004601E0"/>
    <w:rsid w:val="00461DD7"/>
    <w:rsid w:val="00465A7B"/>
    <w:rsid w:val="00474E9D"/>
    <w:rsid w:val="0047554F"/>
    <w:rsid w:val="004775C4"/>
    <w:rsid w:val="00481247"/>
    <w:rsid w:val="004831DD"/>
    <w:rsid w:val="00483649"/>
    <w:rsid w:val="004837C9"/>
    <w:rsid w:val="004843EA"/>
    <w:rsid w:val="00491312"/>
    <w:rsid w:val="0049258D"/>
    <w:rsid w:val="004A128A"/>
    <w:rsid w:val="004A2987"/>
    <w:rsid w:val="004A486F"/>
    <w:rsid w:val="004C04D5"/>
    <w:rsid w:val="004C11DC"/>
    <w:rsid w:val="004C5AE5"/>
    <w:rsid w:val="004C5B70"/>
    <w:rsid w:val="004C6FCB"/>
    <w:rsid w:val="004D5513"/>
    <w:rsid w:val="004D6588"/>
    <w:rsid w:val="004D6A08"/>
    <w:rsid w:val="004D7634"/>
    <w:rsid w:val="004E3889"/>
    <w:rsid w:val="004E4CC2"/>
    <w:rsid w:val="004E6D8A"/>
    <w:rsid w:val="004E7EFD"/>
    <w:rsid w:val="00517B02"/>
    <w:rsid w:val="005226B6"/>
    <w:rsid w:val="005240F2"/>
    <w:rsid w:val="00527637"/>
    <w:rsid w:val="005309BF"/>
    <w:rsid w:val="00530CF4"/>
    <w:rsid w:val="00535716"/>
    <w:rsid w:val="00540AAC"/>
    <w:rsid w:val="0054119C"/>
    <w:rsid w:val="0055152F"/>
    <w:rsid w:val="00556156"/>
    <w:rsid w:val="00564EEC"/>
    <w:rsid w:val="00571661"/>
    <w:rsid w:val="00572F51"/>
    <w:rsid w:val="0058244C"/>
    <w:rsid w:val="00582B6E"/>
    <w:rsid w:val="005867A4"/>
    <w:rsid w:val="00590054"/>
    <w:rsid w:val="00594191"/>
    <w:rsid w:val="005A3888"/>
    <w:rsid w:val="005A6679"/>
    <w:rsid w:val="005A6D5E"/>
    <w:rsid w:val="005B1775"/>
    <w:rsid w:val="005B3326"/>
    <w:rsid w:val="005B4CD6"/>
    <w:rsid w:val="005B685C"/>
    <w:rsid w:val="005B6D63"/>
    <w:rsid w:val="005B74DE"/>
    <w:rsid w:val="005C708D"/>
    <w:rsid w:val="005D0540"/>
    <w:rsid w:val="005D407A"/>
    <w:rsid w:val="005D6089"/>
    <w:rsid w:val="005E7248"/>
    <w:rsid w:val="005F08E8"/>
    <w:rsid w:val="005F0A38"/>
    <w:rsid w:val="005F1F56"/>
    <w:rsid w:val="005F1FCE"/>
    <w:rsid w:val="0060196B"/>
    <w:rsid w:val="00606C00"/>
    <w:rsid w:val="00610F01"/>
    <w:rsid w:val="006118ED"/>
    <w:rsid w:val="006126CE"/>
    <w:rsid w:val="00613DC6"/>
    <w:rsid w:val="006334C9"/>
    <w:rsid w:val="00636FED"/>
    <w:rsid w:val="00637A0B"/>
    <w:rsid w:val="00642659"/>
    <w:rsid w:val="00642CF4"/>
    <w:rsid w:val="00645A14"/>
    <w:rsid w:val="0065190B"/>
    <w:rsid w:val="00651A7B"/>
    <w:rsid w:val="006547EC"/>
    <w:rsid w:val="00654C56"/>
    <w:rsid w:val="00655B27"/>
    <w:rsid w:val="00660BE6"/>
    <w:rsid w:val="006615FD"/>
    <w:rsid w:val="0067022D"/>
    <w:rsid w:val="006704F8"/>
    <w:rsid w:val="006768E0"/>
    <w:rsid w:val="00683F1B"/>
    <w:rsid w:val="00686F2D"/>
    <w:rsid w:val="00690D99"/>
    <w:rsid w:val="00690DF2"/>
    <w:rsid w:val="0069149B"/>
    <w:rsid w:val="00691EB0"/>
    <w:rsid w:val="00692761"/>
    <w:rsid w:val="0069302E"/>
    <w:rsid w:val="00695A9A"/>
    <w:rsid w:val="006961A1"/>
    <w:rsid w:val="006A11CD"/>
    <w:rsid w:val="006A13F3"/>
    <w:rsid w:val="006A15CE"/>
    <w:rsid w:val="006A20A1"/>
    <w:rsid w:val="006A2919"/>
    <w:rsid w:val="006A3E8F"/>
    <w:rsid w:val="006A6C94"/>
    <w:rsid w:val="006A76BB"/>
    <w:rsid w:val="006B25D9"/>
    <w:rsid w:val="006B5C83"/>
    <w:rsid w:val="006C47D2"/>
    <w:rsid w:val="006C62E9"/>
    <w:rsid w:val="006C7307"/>
    <w:rsid w:val="006E45B7"/>
    <w:rsid w:val="006E667A"/>
    <w:rsid w:val="006E6768"/>
    <w:rsid w:val="006E7693"/>
    <w:rsid w:val="006F196B"/>
    <w:rsid w:val="006F215C"/>
    <w:rsid w:val="00700033"/>
    <w:rsid w:val="007012B8"/>
    <w:rsid w:val="007026C5"/>
    <w:rsid w:val="00703A4C"/>
    <w:rsid w:val="0071033B"/>
    <w:rsid w:val="00723895"/>
    <w:rsid w:val="00727670"/>
    <w:rsid w:val="00741BED"/>
    <w:rsid w:val="0074209E"/>
    <w:rsid w:val="00745DD5"/>
    <w:rsid w:val="00746026"/>
    <w:rsid w:val="00750A7A"/>
    <w:rsid w:val="00760D36"/>
    <w:rsid w:val="007627FE"/>
    <w:rsid w:val="00766954"/>
    <w:rsid w:val="00767607"/>
    <w:rsid w:val="007803D9"/>
    <w:rsid w:val="00785B14"/>
    <w:rsid w:val="007879D9"/>
    <w:rsid w:val="0079006C"/>
    <w:rsid w:val="0079179A"/>
    <w:rsid w:val="00791C71"/>
    <w:rsid w:val="0079298A"/>
    <w:rsid w:val="00792B07"/>
    <w:rsid w:val="007A1FD9"/>
    <w:rsid w:val="007A48FD"/>
    <w:rsid w:val="007A7106"/>
    <w:rsid w:val="007A7B91"/>
    <w:rsid w:val="007B1F97"/>
    <w:rsid w:val="007B57C5"/>
    <w:rsid w:val="007C1475"/>
    <w:rsid w:val="007D0689"/>
    <w:rsid w:val="007D269F"/>
    <w:rsid w:val="007D27AA"/>
    <w:rsid w:val="007D3EE2"/>
    <w:rsid w:val="007D63A5"/>
    <w:rsid w:val="007E00A6"/>
    <w:rsid w:val="007E0F88"/>
    <w:rsid w:val="007E7FB4"/>
    <w:rsid w:val="008002F4"/>
    <w:rsid w:val="00800541"/>
    <w:rsid w:val="00801145"/>
    <w:rsid w:val="00801280"/>
    <w:rsid w:val="00801B9A"/>
    <w:rsid w:val="00803764"/>
    <w:rsid w:val="008056A1"/>
    <w:rsid w:val="00813202"/>
    <w:rsid w:val="00817334"/>
    <w:rsid w:val="00820E2D"/>
    <w:rsid w:val="00825C33"/>
    <w:rsid w:val="008376BA"/>
    <w:rsid w:val="008415EC"/>
    <w:rsid w:val="00842D5C"/>
    <w:rsid w:val="00847A4C"/>
    <w:rsid w:val="00847F46"/>
    <w:rsid w:val="008532EF"/>
    <w:rsid w:val="00855F92"/>
    <w:rsid w:val="00860852"/>
    <w:rsid w:val="00862781"/>
    <w:rsid w:val="008638EF"/>
    <w:rsid w:val="00864979"/>
    <w:rsid w:val="00865C5E"/>
    <w:rsid w:val="00865F54"/>
    <w:rsid w:val="0087136C"/>
    <w:rsid w:val="00871C6D"/>
    <w:rsid w:val="008737CF"/>
    <w:rsid w:val="00876B8C"/>
    <w:rsid w:val="008813DE"/>
    <w:rsid w:val="00885308"/>
    <w:rsid w:val="00896C84"/>
    <w:rsid w:val="008A1389"/>
    <w:rsid w:val="008A21DC"/>
    <w:rsid w:val="008A23C9"/>
    <w:rsid w:val="008A5B52"/>
    <w:rsid w:val="008B2983"/>
    <w:rsid w:val="008B3D48"/>
    <w:rsid w:val="008C0088"/>
    <w:rsid w:val="008C0B7D"/>
    <w:rsid w:val="008C0DEA"/>
    <w:rsid w:val="008C27F0"/>
    <w:rsid w:val="008C3E5D"/>
    <w:rsid w:val="008C4185"/>
    <w:rsid w:val="008D0658"/>
    <w:rsid w:val="008D30F2"/>
    <w:rsid w:val="008E0FAC"/>
    <w:rsid w:val="008E2BC8"/>
    <w:rsid w:val="008E3377"/>
    <w:rsid w:val="008E5154"/>
    <w:rsid w:val="008F438E"/>
    <w:rsid w:val="008F5004"/>
    <w:rsid w:val="008F6BCF"/>
    <w:rsid w:val="008F7290"/>
    <w:rsid w:val="009133FC"/>
    <w:rsid w:val="00915EE5"/>
    <w:rsid w:val="00917F89"/>
    <w:rsid w:val="009201D1"/>
    <w:rsid w:val="009256C8"/>
    <w:rsid w:val="00927ABF"/>
    <w:rsid w:val="00932E70"/>
    <w:rsid w:val="009362F9"/>
    <w:rsid w:val="0094699C"/>
    <w:rsid w:val="00946A9B"/>
    <w:rsid w:val="009477A0"/>
    <w:rsid w:val="00950C30"/>
    <w:rsid w:val="00955833"/>
    <w:rsid w:val="009565E1"/>
    <w:rsid w:val="00957A46"/>
    <w:rsid w:val="00964D21"/>
    <w:rsid w:val="009658B0"/>
    <w:rsid w:val="00967830"/>
    <w:rsid w:val="009709DC"/>
    <w:rsid w:val="00972C41"/>
    <w:rsid w:val="00976B2D"/>
    <w:rsid w:val="00981BE2"/>
    <w:rsid w:val="009824C9"/>
    <w:rsid w:val="0098556E"/>
    <w:rsid w:val="00987493"/>
    <w:rsid w:val="009970BE"/>
    <w:rsid w:val="009A50E5"/>
    <w:rsid w:val="009A7D46"/>
    <w:rsid w:val="009D29FA"/>
    <w:rsid w:val="009D2BDB"/>
    <w:rsid w:val="009D38E9"/>
    <w:rsid w:val="009D4E78"/>
    <w:rsid w:val="009E0112"/>
    <w:rsid w:val="009E102C"/>
    <w:rsid w:val="009E28DA"/>
    <w:rsid w:val="009E447B"/>
    <w:rsid w:val="009E6E88"/>
    <w:rsid w:val="009F01F1"/>
    <w:rsid w:val="009F1F9D"/>
    <w:rsid w:val="009F3832"/>
    <w:rsid w:val="009F53C8"/>
    <w:rsid w:val="00A03845"/>
    <w:rsid w:val="00A05EEA"/>
    <w:rsid w:val="00A07F90"/>
    <w:rsid w:val="00A16EA8"/>
    <w:rsid w:val="00A1757F"/>
    <w:rsid w:val="00A23A17"/>
    <w:rsid w:val="00A35E68"/>
    <w:rsid w:val="00A367EB"/>
    <w:rsid w:val="00A36B42"/>
    <w:rsid w:val="00A37F72"/>
    <w:rsid w:val="00A40996"/>
    <w:rsid w:val="00A41EC2"/>
    <w:rsid w:val="00A4370E"/>
    <w:rsid w:val="00A44B6B"/>
    <w:rsid w:val="00A45279"/>
    <w:rsid w:val="00A47D99"/>
    <w:rsid w:val="00A52BD5"/>
    <w:rsid w:val="00A61962"/>
    <w:rsid w:val="00A71952"/>
    <w:rsid w:val="00A72D27"/>
    <w:rsid w:val="00A77ABD"/>
    <w:rsid w:val="00A80223"/>
    <w:rsid w:val="00A826D6"/>
    <w:rsid w:val="00A849A2"/>
    <w:rsid w:val="00A87658"/>
    <w:rsid w:val="00A908A6"/>
    <w:rsid w:val="00AA1AF7"/>
    <w:rsid w:val="00AA560B"/>
    <w:rsid w:val="00AB6E5D"/>
    <w:rsid w:val="00AB78D7"/>
    <w:rsid w:val="00AC0FA0"/>
    <w:rsid w:val="00AC2346"/>
    <w:rsid w:val="00AC3640"/>
    <w:rsid w:val="00AC3FE7"/>
    <w:rsid w:val="00AC404D"/>
    <w:rsid w:val="00AD15DC"/>
    <w:rsid w:val="00AE604B"/>
    <w:rsid w:val="00AE774B"/>
    <w:rsid w:val="00AF142C"/>
    <w:rsid w:val="00AF2C58"/>
    <w:rsid w:val="00B0392E"/>
    <w:rsid w:val="00B0518A"/>
    <w:rsid w:val="00B1273E"/>
    <w:rsid w:val="00B137BA"/>
    <w:rsid w:val="00B14036"/>
    <w:rsid w:val="00B155B9"/>
    <w:rsid w:val="00B17C72"/>
    <w:rsid w:val="00B2037D"/>
    <w:rsid w:val="00B210F0"/>
    <w:rsid w:val="00B2130F"/>
    <w:rsid w:val="00B272B5"/>
    <w:rsid w:val="00B31876"/>
    <w:rsid w:val="00B378BF"/>
    <w:rsid w:val="00B4532D"/>
    <w:rsid w:val="00B5080D"/>
    <w:rsid w:val="00B53373"/>
    <w:rsid w:val="00B54BFC"/>
    <w:rsid w:val="00B566C6"/>
    <w:rsid w:val="00B65D05"/>
    <w:rsid w:val="00B6632F"/>
    <w:rsid w:val="00B6741F"/>
    <w:rsid w:val="00B70CCF"/>
    <w:rsid w:val="00B71591"/>
    <w:rsid w:val="00B71BB4"/>
    <w:rsid w:val="00B73A37"/>
    <w:rsid w:val="00B82214"/>
    <w:rsid w:val="00B84F6B"/>
    <w:rsid w:val="00B927C3"/>
    <w:rsid w:val="00B94811"/>
    <w:rsid w:val="00BA071C"/>
    <w:rsid w:val="00BB4968"/>
    <w:rsid w:val="00BB4C7A"/>
    <w:rsid w:val="00BB5D71"/>
    <w:rsid w:val="00BC4260"/>
    <w:rsid w:val="00BD1CE0"/>
    <w:rsid w:val="00BD3AFA"/>
    <w:rsid w:val="00BF16F8"/>
    <w:rsid w:val="00BF1853"/>
    <w:rsid w:val="00BF26F4"/>
    <w:rsid w:val="00BF3E79"/>
    <w:rsid w:val="00C03674"/>
    <w:rsid w:val="00C054A5"/>
    <w:rsid w:val="00C0652F"/>
    <w:rsid w:val="00C11B66"/>
    <w:rsid w:val="00C124E2"/>
    <w:rsid w:val="00C16286"/>
    <w:rsid w:val="00C16F1B"/>
    <w:rsid w:val="00C177A5"/>
    <w:rsid w:val="00C31D5E"/>
    <w:rsid w:val="00C37A73"/>
    <w:rsid w:val="00C43A69"/>
    <w:rsid w:val="00C4467F"/>
    <w:rsid w:val="00C47ADE"/>
    <w:rsid w:val="00C51879"/>
    <w:rsid w:val="00C51AD1"/>
    <w:rsid w:val="00C648AC"/>
    <w:rsid w:val="00C703AD"/>
    <w:rsid w:val="00C72C8B"/>
    <w:rsid w:val="00C82A30"/>
    <w:rsid w:val="00C83F39"/>
    <w:rsid w:val="00C91890"/>
    <w:rsid w:val="00CA0F13"/>
    <w:rsid w:val="00CB0816"/>
    <w:rsid w:val="00CC263B"/>
    <w:rsid w:val="00CC4D06"/>
    <w:rsid w:val="00CC7FB0"/>
    <w:rsid w:val="00CD5D07"/>
    <w:rsid w:val="00CF4A12"/>
    <w:rsid w:val="00CF4CE8"/>
    <w:rsid w:val="00D017C4"/>
    <w:rsid w:val="00D06802"/>
    <w:rsid w:val="00D06B73"/>
    <w:rsid w:val="00D10558"/>
    <w:rsid w:val="00D106CB"/>
    <w:rsid w:val="00D10747"/>
    <w:rsid w:val="00D12BBE"/>
    <w:rsid w:val="00D2030F"/>
    <w:rsid w:val="00D22C34"/>
    <w:rsid w:val="00D270C4"/>
    <w:rsid w:val="00D3167D"/>
    <w:rsid w:val="00D34310"/>
    <w:rsid w:val="00D467E8"/>
    <w:rsid w:val="00D46C6F"/>
    <w:rsid w:val="00D5375B"/>
    <w:rsid w:val="00D5521D"/>
    <w:rsid w:val="00D62F05"/>
    <w:rsid w:val="00D631B2"/>
    <w:rsid w:val="00D64752"/>
    <w:rsid w:val="00D70005"/>
    <w:rsid w:val="00D7201C"/>
    <w:rsid w:val="00D74934"/>
    <w:rsid w:val="00D74E0B"/>
    <w:rsid w:val="00D751D7"/>
    <w:rsid w:val="00D76429"/>
    <w:rsid w:val="00D81098"/>
    <w:rsid w:val="00D817EC"/>
    <w:rsid w:val="00D828E6"/>
    <w:rsid w:val="00D8343B"/>
    <w:rsid w:val="00D8643C"/>
    <w:rsid w:val="00D930C5"/>
    <w:rsid w:val="00D93FD6"/>
    <w:rsid w:val="00D94805"/>
    <w:rsid w:val="00DA24E0"/>
    <w:rsid w:val="00DB2305"/>
    <w:rsid w:val="00DB25C1"/>
    <w:rsid w:val="00DB4936"/>
    <w:rsid w:val="00DB6AC1"/>
    <w:rsid w:val="00DB70EE"/>
    <w:rsid w:val="00DC1949"/>
    <w:rsid w:val="00DD0501"/>
    <w:rsid w:val="00DD255C"/>
    <w:rsid w:val="00DD4EF2"/>
    <w:rsid w:val="00DD6A78"/>
    <w:rsid w:val="00DD7446"/>
    <w:rsid w:val="00DE0F46"/>
    <w:rsid w:val="00DE398E"/>
    <w:rsid w:val="00DE4465"/>
    <w:rsid w:val="00DE70DD"/>
    <w:rsid w:val="00E01756"/>
    <w:rsid w:val="00E027D7"/>
    <w:rsid w:val="00E02EC2"/>
    <w:rsid w:val="00E0319C"/>
    <w:rsid w:val="00E03842"/>
    <w:rsid w:val="00E06D9E"/>
    <w:rsid w:val="00E072B1"/>
    <w:rsid w:val="00E114FA"/>
    <w:rsid w:val="00E13131"/>
    <w:rsid w:val="00E16E82"/>
    <w:rsid w:val="00E17D7F"/>
    <w:rsid w:val="00E17DD3"/>
    <w:rsid w:val="00E34548"/>
    <w:rsid w:val="00E4035A"/>
    <w:rsid w:val="00E405A5"/>
    <w:rsid w:val="00E42ECA"/>
    <w:rsid w:val="00E47BD3"/>
    <w:rsid w:val="00E54F12"/>
    <w:rsid w:val="00E5565B"/>
    <w:rsid w:val="00E6024E"/>
    <w:rsid w:val="00E622D7"/>
    <w:rsid w:val="00E63FDB"/>
    <w:rsid w:val="00E72359"/>
    <w:rsid w:val="00E7470C"/>
    <w:rsid w:val="00E77F81"/>
    <w:rsid w:val="00E817C3"/>
    <w:rsid w:val="00E929CB"/>
    <w:rsid w:val="00E94524"/>
    <w:rsid w:val="00E950DE"/>
    <w:rsid w:val="00E97444"/>
    <w:rsid w:val="00E97DE5"/>
    <w:rsid w:val="00EA08DC"/>
    <w:rsid w:val="00EA2801"/>
    <w:rsid w:val="00EA617F"/>
    <w:rsid w:val="00EB2C52"/>
    <w:rsid w:val="00EC010D"/>
    <w:rsid w:val="00EC7B3A"/>
    <w:rsid w:val="00ED236E"/>
    <w:rsid w:val="00ED7EAA"/>
    <w:rsid w:val="00EF19FB"/>
    <w:rsid w:val="00EF2DA4"/>
    <w:rsid w:val="00EF30AC"/>
    <w:rsid w:val="00EF59ED"/>
    <w:rsid w:val="00EF5E90"/>
    <w:rsid w:val="00F0161A"/>
    <w:rsid w:val="00F0191E"/>
    <w:rsid w:val="00F01C6F"/>
    <w:rsid w:val="00F01FC6"/>
    <w:rsid w:val="00F02C8E"/>
    <w:rsid w:val="00F20175"/>
    <w:rsid w:val="00F23AAC"/>
    <w:rsid w:val="00F40FAC"/>
    <w:rsid w:val="00F43A5F"/>
    <w:rsid w:val="00F440B1"/>
    <w:rsid w:val="00F478CA"/>
    <w:rsid w:val="00F53065"/>
    <w:rsid w:val="00F538D2"/>
    <w:rsid w:val="00F707D4"/>
    <w:rsid w:val="00F70B11"/>
    <w:rsid w:val="00F70B6C"/>
    <w:rsid w:val="00F712C5"/>
    <w:rsid w:val="00F744CF"/>
    <w:rsid w:val="00F80F42"/>
    <w:rsid w:val="00F821C4"/>
    <w:rsid w:val="00F903DE"/>
    <w:rsid w:val="00F91C5B"/>
    <w:rsid w:val="00F92666"/>
    <w:rsid w:val="00F95CEC"/>
    <w:rsid w:val="00FA0ECB"/>
    <w:rsid w:val="00FA12FF"/>
    <w:rsid w:val="00FA1DCB"/>
    <w:rsid w:val="00FB77BC"/>
    <w:rsid w:val="00FC33BF"/>
    <w:rsid w:val="00FC4838"/>
    <w:rsid w:val="00FD3088"/>
    <w:rsid w:val="00FD69B0"/>
    <w:rsid w:val="00FE418D"/>
    <w:rsid w:val="00FF2F96"/>
    <w:rsid w:val="00FF6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9B33"/>
  <w15:chartTrackingRefBased/>
  <w15:docId w15:val="{E661072F-210E-4D6A-A5B3-71158D2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2D2FFD"/>
    <w:pPr>
      <w:numPr>
        <w:ilvl w:val="0"/>
      </w:numPr>
      <w:spacing w:after="0" w:line="240" w:lineRule="auto"/>
      <w:mirrorIndents/>
      <w:outlineLvl w:val="0"/>
    </w:pPr>
    <w:rPr>
      <w:rFonts w:ascii="Calibri" w:hAnsi="Calibri" w:cs="Calibri"/>
      <w:b/>
      <w:color w:val="002060"/>
      <w:spacing w:val="-10"/>
      <w:w w:val="110"/>
      <w:kern w:val="30"/>
      <w:sz w:val="36"/>
      <w:szCs w:val="36"/>
    </w:rPr>
  </w:style>
  <w:style w:type="paragraph" w:styleId="Heading3">
    <w:name w:val="heading 3"/>
    <w:basedOn w:val="BodyText"/>
    <w:next w:val="Normal"/>
    <w:link w:val="Heading3Char"/>
    <w:uiPriority w:val="9"/>
    <w:unhideWhenUsed/>
    <w:rsid w:val="002D2FFD"/>
    <w:pPr>
      <w:numPr>
        <w:ilvl w:val="1"/>
        <w:numId w:val="1"/>
      </w:numPr>
      <w:outlineLvl w:val="2"/>
    </w:pPr>
    <w:rPr>
      <w:rFonts w:cs="Calibri"/>
      <w:b/>
      <w:szCs w:val="36"/>
    </w:rPr>
  </w:style>
  <w:style w:type="paragraph" w:styleId="Heading4">
    <w:name w:val="heading 4"/>
    <w:aliases w:val="Number Main heading"/>
    <w:basedOn w:val="Heading3"/>
    <w:next w:val="Normal"/>
    <w:link w:val="Heading4Char"/>
    <w:uiPriority w:val="9"/>
    <w:unhideWhenUsed/>
    <w:qFormat/>
    <w:rsid w:val="002D2FFD"/>
    <w:pPr>
      <w:numPr>
        <w:ilvl w:val="0"/>
      </w:numPr>
      <w:outlineLvl w:val="3"/>
    </w:pPr>
    <w:rPr>
      <w:rFonts w:cs="Akkurat St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FFD"/>
    <w:rPr>
      <w:rFonts w:ascii="Calibri" w:eastAsiaTheme="minorEastAsia" w:hAnsi="Calibri" w:cs="Calibri"/>
      <w:b/>
      <w:color w:val="002060"/>
      <w:spacing w:val="-10"/>
      <w:w w:val="110"/>
      <w:kern w:val="30"/>
      <w:sz w:val="36"/>
      <w:szCs w:val="36"/>
    </w:rPr>
  </w:style>
  <w:style w:type="character" w:customStyle="1" w:styleId="Heading3Char">
    <w:name w:val="Heading 3 Char"/>
    <w:basedOn w:val="DefaultParagraphFont"/>
    <w:link w:val="Heading3"/>
    <w:uiPriority w:val="9"/>
    <w:rsid w:val="002D2FFD"/>
    <w:rPr>
      <w:rFonts w:ascii="Calibri" w:hAnsi="Calibri" w:cs="Calibri"/>
      <w:b/>
      <w:color w:val="002151"/>
      <w:w w:val="110"/>
      <w:kern w:val="20"/>
      <w:szCs w:val="36"/>
    </w:rPr>
  </w:style>
  <w:style w:type="character" w:customStyle="1" w:styleId="Heading4Char">
    <w:name w:val="Heading 4 Char"/>
    <w:aliases w:val="Number Main heading Char"/>
    <w:basedOn w:val="DefaultParagraphFont"/>
    <w:link w:val="Heading4"/>
    <w:uiPriority w:val="9"/>
    <w:rsid w:val="002D2FFD"/>
    <w:rPr>
      <w:rFonts w:ascii="Calibri" w:hAnsi="Calibri" w:cs="Akkurat Std"/>
      <w:b/>
      <w:color w:val="002151"/>
      <w:w w:val="110"/>
      <w:kern w:val="20"/>
      <w:sz w:val="28"/>
      <w:szCs w:val="36"/>
    </w:rPr>
  </w:style>
  <w:style w:type="paragraph" w:styleId="Header">
    <w:name w:val="header"/>
    <w:basedOn w:val="Normal"/>
    <w:link w:val="HeaderChar"/>
    <w:uiPriority w:val="99"/>
    <w:unhideWhenUsed/>
    <w:rsid w:val="002D2FFD"/>
    <w:pPr>
      <w:tabs>
        <w:tab w:val="center" w:pos="4513"/>
        <w:tab w:val="right" w:pos="9026"/>
      </w:tabs>
      <w:spacing w:after="0" w:line="240" w:lineRule="auto"/>
    </w:pPr>
    <w:rPr>
      <w:rFonts w:ascii="Calibri" w:hAnsi="Calibri" w:cs="Akkurat Std Light"/>
      <w:color w:val="002151"/>
      <w:w w:val="110"/>
      <w:kern w:val="20"/>
      <w:szCs w:val="20"/>
    </w:rPr>
  </w:style>
  <w:style w:type="character" w:customStyle="1" w:styleId="HeaderChar">
    <w:name w:val="Header Char"/>
    <w:basedOn w:val="DefaultParagraphFont"/>
    <w:link w:val="Header"/>
    <w:uiPriority w:val="99"/>
    <w:rsid w:val="002D2FFD"/>
    <w:rPr>
      <w:rFonts w:ascii="Calibri" w:hAnsi="Calibri" w:cs="Akkurat Std Light"/>
      <w:color w:val="002151"/>
      <w:w w:val="110"/>
      <w:kern w:val="20"/>
      <w:szCs w:val="20"/>
    </w:rPr>
  </w:style>
  <w:style w:type="paragraph" w:styleId="Footer">
    <w:name w:val="footer"/>
    <w:basedOn w:val="Normal"/>
    <w:link w:val="FooterChar"/>
    <w:uiPriority w:val="99"/>
    <w:unhideWhenUsed/>
    <w:rsid w:val="002D2FFD"/>
    <w:pPr>
      <w:tabs>
        <w:tab w:val="center" w:pos="4513"/>
        <w:tab w:val="right" w:pos="9026"/>
      </w:tabs>
      <w:spacing w:after="0" w:line="240" w:lineRule="auto"/>
    </w:pPr>
    <w:rPr>
      <w:rFonts w:ascii="Calibri" w:hAnsi="Calibri" w:cs="Akkurat Std Light"/>
      <w:color w:val="002151"/>
      <w:w w:val="110"/>
      <w:kern w:val="20"/>
      <w:szCs w:val="20"/>
    </w:rPr>
  </w:style>
  <w:style w:type="character" w:customStyle="1" w:styleId="FooterChar">
    <w:name w:val="Footer Char"/>
    <w:basedOn w:val="DefaultParagraphFont"/>
    <w:link w:val="Footer"/>
    <w:uiPriority w:val="99"/>
    <w:rsid w:val="002D2FFD"/>
    <w:rPr>
      <w:rFonts w:ascii="Calibri" w:hAnsi="Calibri" w:cs="Akkurat Std Light"/>
      <w:color w:val="002151"/>
      <w:w w:val="110"/>
      <w:kern w:val="20"/>
      <w:szCs w:val="20"/>
    </w:rPr>
  </w:style>
  <w:style w:type="paragraph" w:styleId="BodyText">
    <w:name w:val="Body Text"/>
    <w:basedOn w:val="Normal"/>
    <w:link w:val="BodyTextChar"/>
    <w:uiPriority w:val="99"/>
    <w:unhideWhenUsed/>
    <w:qFormat/>
    <w:rsid w:val="002D2FFD"/>
    <w:pPr>
      <w:spacing w:after="0" w:line="240" w:lineRule="auto"/>
    </w:pPr>
    <w:rPr>
      <w:rFonts w:ascii="Calibri" w:hAnsi="Calibri" w:cs="Akkurat Std Light"/>
      <w:color w:val="002151"/>
      <w:w w:val="110"/>
      <w:kern w:val="20"/>
      <w:szCs w:val="20"/>
    </w:rPr>
  </w:style>
  <w:style w:type="character" w:customStyle="1" w:styleId="BodyTextChar">
    <w:name w:val="Body Text Char"/>
    <w:basedOn w:val="DefaultParagraphFont"/>
    <w:link w:val="BodyText"/>
    <w:uiPriority w:val="99"/>
    <w:rsid w:val="002D2FFD"/>
    <w:rPr>
      <w:rFonts w:ascii="Calibri" w:hAnsi="Calibri" w:cs="Akkurat Std Light"/>
      <w:color w:val="002151"/>
      <w:w w:val="110"/>
      <w:kern w:val="20"/>
      <w:szCs w:val="20"/>
    </w:rPr>
  </w:style>
  <w:style w:type="character" w:styleId="Hyperlink">
    <w:name w:val="Hyperlink"/>
    <w:basedOn w:val="DefaultParagraphFont"/>
    <w:uiPriority w:val="99"/>
    <w:unhideWhenUsed/>
    <w:rsid w:val="002D2FFD"/>
    <w:rPr>
      <w:color w:val="0563C1" w:themeColor="hyperlink"/>
      <w:u w:val="single"/>
    </w:rPr>
  </w:style>
  <w:style w:type="paragraph" w:styleId="ListParagraph">
    <w:name w:val="List Paragraph"/>
    <w:basedOn w:val="Normal"/>
    <w:link w:val="ListParagraphChar"/>
    <w:uiPriority w:val="34"/>
    <w:rsid w:val="002D2FFD"/>
    <w:pPr>
      <w:spacing w:after="0" w:line="240" w:lineRule="auto"/>
      <w:ind w:left="720"/>
      <w:contextualSpacing/>
    </w:pPr>
    <w:rPr>
      <w:rFonts w:ascii="Calibri" w:hAnsi="Calibri" w:cs="Akkurat Std Light"/>
      <w:color w:val="002151"/>
      <w:w w:val="110"/>
      <w:kern w:val="20"/>
      <w:szCs w:val="20"/>
    </w:rPr>
  </w:style>
  <w:style w:type="character" w:customStyle="1" w:styleId="ListParagraphChar">
    <w:name w:val="List Paragraph Char"/>
    <w:basedOn w:val="DefaultParagraphFont"/>
    <w:link w:val="ListParagraph"/>
    <w:uiPriority w:val="34"/>
    <w:rsid w:val="002D2FFD"/>
    <w:rPr>
      <w:rFonts w:ascii="Calibri" w:hAnsi="Calibri" w:cs="Akkurat Std Light"/>
      <w:color w:val="002151"/>
      <w:w w:val="110"/>
      <w:kern w:val="20"/>
      <w:szCs w:val="20"/>
    </w:rPr>
  </w:style>
  <w:style w:type="paragraph" w:styleId="NormalWeb">
    <w:name w:val="Normal (Web)"/>
    <w:basedOn w:val="Normal"/>
    <w:uiPriority w:val="99"/>
    <w:semiHidden/>
    <w:unhideWhenUsed/>
    <w:rsid w:val="002D2F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ocialMediaStyle">
    <w:name w:val="SocialMedia Style"/>
    <w:basedOn w:val="NormalWeb"/>
    <w:autoRedefine/>
    <w:rsid w:val="00D828E6"/>
    <w:pPr>
      <w:spacing w:before="0" w:beforeAutospacing="0" w:after="0" w:afterAutospacing="0"/>
      <w:ind w:left="14" w:right="11" w:firstLine="864"/>
      <w:jc w:val="right"/>
    </w:pPr>
    <w:rPr>
      <w:rFonts w:ascii="Calibri" w:hAnsi="Calibri" w:cs="Calibri"/>
      <w:color w:val="FFFFFF"/>
      <w:kern w:val="24"/>
      <w:sz w:val="22"/>
      <w:szCs w:val="20"/>
    </w:rPr>
  </w:style>
  <w:style w:type="paragraph" w:customStyle="1" w:styleId="Subheading2">
    <w:name w:val="Sub heading 2"/>
    <w:basedOn w:val="Normal"/>
    <w:link w:val="Subheading2Char"/>
    <w:qFormat/>
    <w:rsid w:val="002D2FFD"/>
    <w:pPr>
      <w:spacing w:after="0" w:line="240" w:lineRule="auto"/>
    </w:pPr>
    <w:rPr>
      <w:rFonts w:ascii="Calibri" w:hAnsi="Calibri" w:cs="Akkurat Std Light"/>
      <w:b/>
      <w:color w:val="FFFFFF" w:themeColor="background1"/>
      <w:w w:val="110"/>
      <w:kern w:val="20"/>
      <w:sz w:val="32"/>
      <w:szCs w:val="20"/>
    </w:rPr>
  </w:style>
  <w:style w:type="character" w:customStyle="1" w:styleId="Subheading2Char">
    <w:name w:val="Sub heading 2 Char"/>
    <w:basedOn w:val="DefaultParagraphFont"/>
    <w:link w:val="Subheading2"/>
    <w:rsid w:val="002D2FFD"/>
    <w:rPr>
      <w:rFonts w:ascii="Calibri" w:hAnsi="Calibri" w:cs="Akkurat Std Light"/>
      <w:b/>
      <w:color w:val="FFFFFF" w:themeColor="background1"/>
      <w:w w:val="110"/>
      <w:kern w:val="20"/>
      <w:sz w:val="32"/>
      <w:szCs w:val="20"/>
    </w:rPr>
  </w:style>
  <w:style w:type="paragraph" w:customStyle="1" w:styleId="ListNumbering">
    <w:name w:val="List Numbering"/>
    <w:basedOn w:val="Normal"/>
    <w:rsid w:val="002D2FFD"/>
    <w:pPr>
      <w:numPr>
        <w:ilvl w:val="3"/>
        <w:numId w:val="1"/>
      </w:numPr>
      <w:spacing w:after="0" w:line="240" w:lineRule="auto"/>
      <w:outlineLvl w:val="1"/>
    </w:pPr>
    <w:rPr>
      <w:rFonts w:ascii="Calibri" w:hAnsi="Calibri" w:cs="Calibri"/>
      <w:color w:val="002060"/>
      <w:w w:val="110"/>
      <w:kern w:val="22"/>
    </w:rPr>
  </w:style>
  <w:style w:type="paragraph" w:customStyle="1" w:styleId="ListNumber41">
    <w:name w:val="List Number 41"/>
    <w:basedOn w:val="ListNumbering"/>
    <w:rsid w:val="002D2FFD"/>
    <w:pPr>
      <w:numPr>
        <w:ilvl w:val="4"/>
      </w:numPr>
    </w:pPr>
  </w:style>
  <w:style w:type="paragraph" w:customStyle="1" w:styleId="ListNumberStyle2">
    <w:name w:val="List Number Style 2"/>
    <w:basedOn w:val="ListNumber41"/>
    <w:rsid w:val="002D2FFD"/>
    <w:pPr>
      <w:numPr>
        <w:ilvl w:val="6"/>
      </w:numPr>
    </w:pPr>
  </w:style>
  <w:style w:type="paragraph" w:customStyle="1" w:styleId="ListNumberStyle3">
    <w:name w:val="List Number Style 3"/>
    <w:basedOn w:val="ListNumber41"/>
    <w:rsid w:val="002D2FFD"/>
    <w:pPr>
      <w:numPr>
        <w:ilvl w:val="7"/>
      </w:numPr>
    </w:pPr>
  </w:style>
  <w:style w:type="paragraph" w:customStyle="1" w:styleId="ListNumberStyle5">
    <w:name w:val="List Number Style 5"/>
    <w:basedOn w:val="ListNumber41"/>
    <w:rsid w:val="002D2FFD"/>
    <w:pPr>
      <w:numPr>
        <w:ilvl w:val="8"/>
      </w:numPr>
    </w:pPr>
  </w:style>
  <w:style w:type="paragraph" w:customStyle="1" w:styleId="ListNumberStyle6">
    <w:name w:val="List Number Style 6"/>
    <w:basedOn w:val="ListNumber41"/>
    <w:rsid w:val="002D2FFD"/>
    <w:pPr>
      <w:numPr>
        <w:ilvl w:val="5"/>
      </w:numPr>
    </w:pPr>
  </w:style>
  <w:style w:type="paragraph" w:styleId="Subtitle">
    <w:name w:val="Subtitle"/>
    <w:basedOn w:val="Normal"/>
    <w:next w:val="Normal"/>
    <w:link w:val="SubtitleChar"/>
    <w:uiPriority w:val="11"/>
    <w:qFormat/>
    <w:rsid w:val="002D2F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FF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B78D7"/>
    <w:rPr>
      <w:sz w:val="16"/>
      <w:szCs w:val="16"/>
    </w:rPr>
  </w:style>
  <w:style w:type="paragraph" w:styleId="CommentText">
    <w:name w:val="annotation text"/>
    <w:basedOn w:val="Normal"/>
    <w:link w:val="CommentTextChar"/>
    <w:uiPriority w:val="99"/>
    <w:semiHidden/>
    <w:unhideWhenUsed/>
    <w:rsid w:val="00AB78D7"/>
    <w:pPr>
      <w:spacing w:line="240" w:lineRule="auto"/>
    </w:pPr>
    <w:rPr>
      <w:sz w:val="20"/>
      <w:szCs w:val="20"/>
    </w:rPr>
  </w:style>
  <w:style w:type="character" w:customStyle="1" w:styleId="CommentTextChar">
    <w:name w:val="Comment Text Char"/>
    <w:basedOn w:val="DefaultParagraphFont"/>
    <w:link w:val="CommentText"/>
    <w:uiPriority w:val="99"/>
    <w:semiHidden/>
    <w:rsid w:val="00AB78D7"/>
    <w:rPr>
      <w:sz w:val="20"/>
      <w:szCs w:val="20"/>
    </w:rPr>
  </w:style>
  <w:style w:type="paragraph" w:styleId="CommentSubject">
    <w:name w:val="annotation subject"/>
    <w:basedOn w:val="CommentText"/>
    <w:next w:val="CommentText"/>
    <w:link w:val="CommentSubjectChar"/>
    <w:uiPriority w:val="99"/>
    <w:semiHidden/>
    <w:unhideWhenUsed/>
    <w:rsid w:val="00AB78D7"/>
    <w:rPr>
      <w:b/>
      <w:bCs/>
    </w:rPr>
  </w:style>
  <w:style w:type="character" w:customStyle="1" w:styleId="CommentSubjectChar">
    <w:name w:val="Comment Subject Char"/>
    <w:basedOn w:val="CommentTextChar"/>
    <w:link w:val="CommentSubject"/>
    <w:uiPriority w:val="99"/>
    <w:semiHidden/>
    <w:rsid w:val="00AB78D7"/>
    <w:rPr>
      <w:b/>
      <w:bCs/>
      <w:sz w:val="20"/>
      <w:szCs w:val="20"/>
    </w:rPr>
  </w:style>
  <w:style w:type="character" w:customStyle="1" w:styleId="UnresolvedMention1">
    <w:name w:val="Unresolved Mention1"/>
    <w:basedOn w:val="DefaultParagraphFont"/>
    <w:uiPriority w:val="99"/>
    <w:semiHidden/>
    <w:unhideWhenUsed/>
    <w:rsid w:val="00AB78D7"/>
    <w:rPr>
      <w:color w:val="605E5C"/>
      <w:shd w:val="clear" w:color="auto" w:fill="E1DFDD"/>
    </w:rPr>
  </w:style>
  <w:style w:type="paragraph" w:styleId="NoSpacing">
    <w:name w:val="No Spacing"/>
    <w:uiPriority w:val="1"/>
    <w:qFormat/>
    <w:rsid w:val="002E1978"/>
    <w:pPr>
      <w:spacing w:after="0" w:line="240" w:lineRule="auto"/>
    </w:pPr>
  </w:style>
  <w:style w:type="paragraph" w:styleId="FootnoteText">
    <w:name w:val="footnote text"/>
    <w:basedOn w:val="Normal"/>
    <w:link w:val="FootnoteTextChar"/>
    <w:uiPriority w:val="99"/>
    <w:semiHidden/>
    <w:unhideWhenUsed/>
    <w:rsid w:val="00B27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2B5"/>
    <w:rPr>
      <w:sz w:val="20"/>
      <w:szCs w:val="20"/>
    </w:rPr>
  </w:style>
  <w:style w:type="character" w:styleId="FootnoteReference">
    <w:name w:val="footnote reference"/>
    <w:basedOn w:val="DefaultParagraphFont"/>
    <w:uiPriority w:val="99"/>
    <w:semiHidden/>
    <w:unhideWhenUsed/>
    <w:rsid w:val="00B272B5"/>
    <w:rPr>
      <w:vertAlign w:val="superscript"/>
    </w:rPr>
  </w:style>
  <w:style w:type="paragraph" w:styleId="BodyText3">
    <w:name w:val="Body Text 3"/>
    <w:basedOn w:val="Normal"/>
    <w:link w:val="BodyText3Char"/>
    <w:uiPriority w:val="99"/>
    <w:semiHidden/>
    <w:unhideWhenUsed/>
    <w:rsid w:val="003E69C2"/>
    <w:pPr>
      <w:spacing w:after="120"/>
    </w:pPr>
    <w:rPr>
      <w:sz w:val="16"/>
      <w:szCs w:val="16"/>
    </w:rPr>
  </w:style>
  <w:style w:type="character" w:customStyle="1" w:styleId="BodyText3Char">
    <w:name w:val="Body Text 3 Char"/>
    <w:basedOn w:val="DefaultParagraphFont"/>
    <w:link w:val="BodyText3"/>
    <w:uiPriority w:val="99"/>
    <w:semiHidden/>
    <w:rsid w:val="003E69C2"/>
    <w:rPr>
      <w:sz w:val="16"/>
      <w:szCs w:val="16"/>
    </w:rPr>
  </w:style>
  <w:style w:type="paragraph" w:styleId="Revision">
    <w:name w:val="Revision"/>
    <w:hidden/>
    <w:uiPriority w:val="99"/>
    <w:semiHidden/>
    <w:rsid w:val="00AA560B"/>
    <w:pPr>
      <w:spacing w:after="0" w:line="240" w:lineRule="auto"/>
    </w:pPr>
  </w:style>
  <w:style w:type="paragraph" w:styleId="BalloonText">
    <w:name w:val="Balloon Text"/>
    <w:basedOn w:val="Normal"/>
    <w:link w:val="BalloonTextChar"/>
    <w:uiPriority w:val="99"/>
    <w:semiHidden/>
    <w:unhideWhenUsed/>
    <w:rsid w:val="00B17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dbook.fca.org.uk/handbook/PR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theia.org" TargetMode="External"/><Relationship Id="rId3" Type="http://schemas.openxmlformats.org/officeDocument/2006/relationships/hyperlink" Target="https://twitter.com/InvAssoc" TargetMode="External"/><Relationship Id="rId7" Type="http://schemas.openxmlformats.org/officeDocument/2006/relationships/hyperlink" Target="http://www.theia.org" TargetMode="External"/><Relationship Id="rId2" Type="http://schemas.openxmlformats.org/officeDocument/2006/relationships/hyperlink" Target="https://www.linkedin.com/company/investment-management-association/?viewAsMember=true" TargetMode="External"/><Relationship Id="rId1" Type="http://schemas.openxmlformats.org/officeDocument/2006/relationships/hyperlink" Target="https://twitter.com/InvAssoc" TargetMode="Externa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hyperlink" Target="https://www.linkedin.com/company/investment-management-association/?viewAsMember=true" TargetMode="External"/><Relationship Id="rId9"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821C347C5BF147895001B239BDA09A" ma:contentTypeVersion="6" ma:contentTypeDescription="Create a new document." ma:contentTypeScope="" ma:versionID="6a8ddb63879666c31cb8dcb0dd7a9694">
  <xsd:schema xmlns:xsd="http://www.w3.org/2001/XMLSchema" xmlns:xs="http://www.w3.org/2001/XMLSchema" xmlns:p="http://schemas.microsoft.com/office/2006/metadata/properties" xmlns:ns2="a80dddcc-f880-4dfb-a165-193da6042bfe" xmlns:ns3="3c3376d6-8b12-40a8-850b-f615b119a904" targetNamespace="http://schemas.microsoft.com/office/2006/metadata/properties" ma:root="true" ma:fieldsID="1e423366cc6413dd7c67a46598dd8d28" ns2:_="" ns3:_="">
    <xsd:import namespace="a80dddcc-f880-4dfb-a165-193da6042bfe"/>
    <xsd:import namespace="3c3376d6-8b12-40a8-850b-f615b119a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dddcc-f880-4dfb-a165-193da6042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376d6-8b12-40a8-850b-f615b119a9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B5665-127C-436F-8C49-0B73FEE99ADC}">
  <ds:schemaRefs>
    <ds:schemaRef ds:uri="http://schemas.openxmlformats.org/officeDocument/2006/bibliography"/>
  </ds:schemaRefs>
</ds:datastoreItem>
</file>

<file path=customXml/itemProps2.xml><?xml version="1.0" encoding="utf-8"?>
<ds:datastoreItem xmlns:ds="http://schemas.openxmlformats.org/officeDocument/2006/customXml" ds:itemID="{17303664-1CDB-4CC8-A571-771784D4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dddcc-f880-4dfb-a165-193da6042bfe"/>
    <ds:schemaRef ds:uri="3c3376d6-8b12-40a8-850b-f615b119a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0B29F-6CB6-4DA8-9064-71EE9119F054}">
  <ds:schemaRefs>
    <ds:schemaRef ds:uri="http://purl.org/dc/terms/"/>
    <ds:schemaRef ds:uri="http://purl.org/dc/dcmitype/"/>
    <ds:schemaRef ds:uri="a80dddcc-f880-4dfb-a165-193da6042bfe"/>
    <ds:schemaRef ds:uri="3c3376d6-8b12-40a8-850b-f615b119a904"/>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F4F78385-2132-4669-909B-301A918D3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IA</Company>
  <LinksUpToDate>false</LinksUpToDate>
  <CharactersWithSpaces>27818</CharactersWithSpaces>
  <SharedDoc>false</SharedDoc>
  <HLinks>
    <vt:vector size="24" baseType="variant">
      <vt:variant>
        <vt:i4>589827</vt:i4>
      </vt:variant>
      <vt:variant>
        <vt:i4>0</vt:i4>
      </vt:variant>
      <vt:variant>
        <vt:i4>0</vt:i4>
      </vt:variant>
      <vt:variant>
        <vt:i4>5</vt:i4>
      </vt:variant>
      <vt:variant>
        <vt:lpwstr>https://www.handbook.fca.org.uk/handbook/PRR.pdf</vt:lpwstr>
      </vt:variant>
      <vt:variant>
        <vt:lpwstr/>
      </vt:variant>
      <vt:variant>
        <vt:i4>5439501</vt:i4>
      </vt:variant>
      <vt:variant>
        <vt:i4>6</vt:i4>
      </vt:variant>
      <vt:variant>
        <vt:i4>0</vt:i4>
      </vt:variant>
      <vt:variant>
        <vt:i4>5</vt:i4>
      </vt:variant>
      <vt:variant>
        <vt:lpwstr>http://www.theia.org/</vt:lpwstr>
      </vt:variant>
      <vt:variant>
        <vt:lpwstr/>
      </vt:variant>
      <vt:variant>
        <vt:i4>6225987</vt:i4>
      </vt:variant>
      <vt:variant>
        <vt:i4>3</vt:i4>
      </vt:variant>
      <vt:variant>
        <vt:i4>0</vt:i4>
      </vt:variant>
      <vt:variant>
        <vt:i4>5</vt:i4>
      </vt:variant>
      <vt:variant>
        <vt:lpwstr>https://www.linkedin.com/company/investment-management-association/?viewAsMember=true</vt:lpwstr>
      </vt:variant>
      <vt:variant>
        <vt:lpwstr/>
      </vt:variant>
      <vt:variant>
        <vt:i4>393302</vt:i4>
      </vt:variant>
      <vt:variant>
        <vt:i4>0</vt:i4>
      </vt:variant>
      <vt:variant>
        <vt:i4>0</vt:i4>
      </vt:variant>
      <vt:variant>
        <vt:i4>5</vt:i4>
      </vt:variant>
      <vt:variant>
        <vt:lpwstr>https://twitter.com/InvAssoc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Rhydian Campbell</dc:creator>
  <cp:keywords/>
  <dc:description/>
  <cp:lastModifiedBy>Rhydian Campbell</cp:lastModifiedBy>
  <cp:revision>3</cp:revision>
  <cp:lastPrinted>2021-11-10T11:04:00Z</cp:lastPrinted>
  <dcterms:created xsi:type="dcterms:W3CDTF">2021-11-10T12:11:00Z</dcterms:created>
  <dcterms:modified xsi:type="dcterms:W3CDTF">2021-11-10T12:12:00Z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0x010100B2821C347C5BF147895001B239BDA09A</vt:lpwstr>
  </property>
</Properties>
</file>